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rPr>
          <w:rFonts w:ascii="Times New Roman" w:hAnsi="Times New Roman" w:eastAsia="方正大标宋简体" w:cs="Times New Roman"/>
          <w:color w:val="000000"/>
          <w:sz w:val="52"/>
          <w:szCs w:val="52"/>
          <w:shd w:val="clear" w:color="auto" w:fill="FFFFFF"/>
        </w:rPr>
      </w:pPr>
    </w:p>
    <w:p>
      <w:pPr>
        <w:shd w:val="clear" w:color="auto" w:fill="FFFFFF"/>
        <w:rPr>
          <w:rFonts w:ascii="Times New Roman" w:hAnsi="Times New Roman" w:eastAsia="方正大标宋简体" w:cs="Times New Roman"/>
          <w:color w:val="000000"/>
          <w:sz w:val="52"/>
          <w:szCs w:val="52"/>
          <w:shd w:val="clear" w:color="auto" w:fill="FFFFFF"/>
        </w:rPr>
      </w:pPr>
    </w:p>
    <w:p>
      <w:pPr>
        <w:shd w:val="clear" w:color="auto" w:fill="FFFFFF"/>
        <w:rPr>
          <w:rFonts w:ascii="Times New Roman" w:hAnsi="Times New Roman" w:eastAsia="方正大标宋简体" w:cs="Times New Roman"/>
          <w:color w:val="000000"/>
          <w:sz w:val="52"/>
          <w:szCs w:val="52"/>
          <w:shd w:val="clear" w:color="auto" w:fill="FFFFFF"/>
        </w:rPr>
      </w:pPr>
    </w:p>
    <w:p>
      <w:pPr>
        <w:shd w:val="clear" w:color="auto" w:fill="FFFFFF"/>
        <w:spacing w:line="960" w:lineRule="exact"/>
        <w:jc w:val="center"/>
        <w:rPr>
          <w:rFonts w:ascii="黑体" w:hAnsi="宋体" w:eastAsia="黑体" w:cs="黑体"/>
          <w:b/>
          <w:bCs/>
          <w:color w:val="000000"/>
          <w:sz w:val="48"/>
          <w:szCs w:val="48"/>
          <w:shd w:val="clear" w:color="auto" w:fill="FFFFFF"/>
        </w:rPr>
      </w:pPr>
      <w:r>
        <w:rPr>
          <w:rFonts w:hint="eastAsia" w:ascii="黑体" w:hAnsi="宋体" w:eastAsia="黑体" w:cs="黑体"/>
          <w:b/>
          <w:bCs/>
          <w:color w:val="000000"/>
          <w:sz w:val="48"/>
          <w:szCs w:val="48"/>
          <w:shd w:val="clear" w:color="auto" w:fill="FFFFFF"/>
          <w:lang w:bidi="ar"/>
        </w:rPr>
        <w:t>铜陵学院2022-2023学年</w:t>
      </w:r>
    </w:p>
    <w:p>
      <w:pPr>
        <w:shd w:val="clear" w:color="auto" w:fill="FFFFFF"/>
        <w:spacing w:line="960" w:lineRule="exact"/>
        <w:jc w:val="center"/>
        <w:rPr>
          <w:rFonts w:ascii="黑体" w:hAnsi="宋体" w:eastAsia="黑体" w:cs="黑体"/>
          <w:b/>
          <w:bCs/>
          <w:color w:val="000000"/>
          <w:sz w:val="48"/>
          <w:szCs w:val="48"/>
          <w:shd w:val="clear" w:color="auto" w:fill="FFFFFF"/>
        </w:rPr>
      </w:pPr>
      <w:r>
        <w:rPr>
          <w:rFonts w:hint="eastAsia" w:ascii="黑体" w:hAnsi="宋体" w:eastAsia="黑体" w:cs="黑体"/>
          <w:b/>
          <w:bCs/>
          <w:color w:val="000000"/>
          <w:sz w:val="48"/>
          <w:szCs w:val="48"/>
          <w:shd w:val="clear" w:color="auto" w:fill="FFFFFF"/>
          <w:lang w:bidi="ar"/>
        </w:rPr>
        <w:t>本科教学质量报告</w:t>
      </w:r>
    </w:p>
    <w:p>
      <w:pPr>
        <w:shd w:val="clear" w:color="auto" w:fill="FFFFFF"/>
        <w:spacing w:line="480" w:lineRule="auto"/>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pPr>
      <w:r>
        <w:rPr>
          <w:rFonts w:hint="eastAsia" w:ascii="黑体" w:hAnsi="宋体" w:eastAsia="黑体" w:cs="黑体"/>
          <w:b/>
          <w:bCs/>
          <w:color w:val="000000"/>
          <w:sz w:val="44"/>
          <w:szCs w:val="44"/>
          <w:shd w:val="clear" w:color="auto" w:fill="FFFFFF"/>
          <w:lang w:bidi="ar"/>
        </w:rPr>
        <w:t>二〇二三年十一月</w:t>
      </w:r>
    </w:p>
    <w:p>
      <w:pPr>
        <w:rPr>
          <w:rFonts w:ascii="Times New Roman" w:hAnsi="Times New Roman" w:eastAsia="黑体" w:cs="Times New Roman"/>
          <w:b/>
          <w:bCs/>
          <w:color w:val="000000"/>
          <w:sz w:val="44"/>
          <w:szCs w:val="44"/>
          <w:shd w:val="clear" w:color="auto" w:fill="FFFFFF"/>
        </w:rPr>
        <w:sectPr>
          <w:headerReference r:id="rId3" w:type="default"/>
          <w:pgSz w:w="11906" w:h="16838"/>
          <w:pgMar w:top="1440" w:right="1800" w:bottom="1440" w:left="1800" w:header="851" w:footer="992" w:gutter="0"/>
          <w:cols w:space="425" w:num="1"/>
          <w:docGrid w:type="lines" w:linePitch="312" w:charSpace="0"/>
        </w:sectPr>
      </w:pPr>
    </w:p>
    <w:p>
      <w:pPr>
        <w:pStyle w:val="6"/>
        <w:widowControl/>
        <w:shd w:val="clear" w:color="auto" w:fill="FFFFFF"/>
        <w:spacing w:line="360" w:lineRule="auto"/>
        <w:jc w:val="center"/>
        <w:rPr>
          <w:color w:val="000000"/>
          <w:shd w:val="clear" w:color="auto" w:fill="FFFFFF"/>
        </w:rPr>
      </w:pPr>
      <w:bookmarkStart w:id="0" w:name="_Toc9873"/>
      <w:bookmarkEnd w:id="0"/>
      <w:r>
        <w:rPr>
          <w:rFonts w:hint="eastAsia" w:ascii="黑体" w:hAnsi="宋体" w:eastAsia="黑体" w:cs="黑体"/>
          <w:b/>
          <w:bCs/>
          <w:color w:val="000000"/>
          <w:sz w:val="36"/>
          <w:szCs w:val="36"/>
          <w:shd w:val="clear" w:color="auto" w:fill="FFFFFF"/>
        </w:rPr>
        <w:t>目   录</w:t>
      </w:r>
    </w:p>
    <w:p>
      <w:pPr>
        <w:pStyle w:val="6"/>
        <w:shd w:val="clear" w:color="auto" w:fill="FFFFFF"/>
        <w:tabs>
          <w:tab w:val="right" w:leader="dot" w:pos="8306"/>
        </w:tabs>
        <w:spacing w:line="360" w:lineRule="auto"/>
        <w:jc w:val="center"/>
        <w:rPr>
          <w:color w:val="000000"/>
          <w:shd w:val="clear" w:color="auto" w:fill="FFFFFF"/>
        </w:rPr>
      </w:pPr>
      <w:r>
        <w:rPr>
          <w:rFonts w:eastAsia="黑体"/>
          <w:color w:val="000000"/>
          <w:sz w:val="36"/>
          <w:szCs w:val="36"/>
          <w:shd w:val="clear" w:color="auto" w:fill="FFFFFF"/>
        </w:rPr>
        <w:fldChar w:fldCharType="begin"/>
      </w:r>
      <w:r>
        <w:rPr>
          <w:rFonts w:eastAsia="黑体"/>
          <w:color w:val="000000"/>
          <w:sz w:val="36"/>
          <w:szCs w:val="36"/>
          <w:shd w:val="clear" w:color="auto" w:fill="FFFFFF"/>
        </w:rPr>
        <w:instrText xml:space="preserve">TOC \o "1-3" \h \u </w:instrText>
      </w:r>
      <w:r>
        <w:rPr>
          <w:rFonts w:eastAsia="黑体"/>
          <w:color w:val="000000"/>
          <w:sz w:val="36"/>
          <w:szCs w:val="36"/>
          <w:shd w:val="clear" w:color="auto" w:fill="FFFFFF"/>
        </w:rPr>
        <w:fldChar w:fldCharType="separate"/>
      </w:r>
    </w:p>
    <w:p>
      <w:pPr>
        <w:pStyle w:val="6"/>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"_Toc22232" </w:instrText>
      </w:r>
      <w:r>
        <w:fldChar w:fldCharType="separate"/>
      </w:r>
      <w:r>
        <w:rPr>
          <w:rFonts w:hint="eastAsia" w:ascii="宋体" w:hAnsi="宋体" w:cs="宋体"/>
          <w:color w:val="000000"/>
          <w:sz w:val="24"/>
          <w:szCs w:val="24"/>
          <w:shd w:val="clear" w:color="auto" w:fill="FFFFFF"/>
        </w:rPr>
        <w:t>第一部分 本科教育基本情况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"_Toc1168" </w:instrText>
      </w:r>
      <w:r>
        <w:fldChar w:fldCharType="separate"/>
      </w:r>
      <w:r>
        <w:rPr>
          <w:rFonts w:hint="eastAsia" w:ascii="宋体" w:hAnsi="宋体" w:cs="宋体"/>
          <w:color w:val="000000"/>
          <w:sz w:val="24"/>
          <w:szCs w:val="24"/>
          <w:shd w:val="clear" w:color="auto" w:fill="FFFFFF"/>
        </w:rPr>
        <w:t>一、办学定位</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"_Toc8587" </w:instrText>
      </w:r>
      <w:r>
        <w:fldChar w:fldCharType="separate"/>
      </w:r>
      <w:r>
        <w:rPr>
          <w:rFonts w:hint="eastAsia" w:ascii="宋体" w:hAnsi="宋体" w:cs="宋体"/>
          <w:color w:val="000000"/>
          <w:sz w:val="24"/>
          <w:szCs w:val="24"/>
          <w:shd w:val="clear" w:color="auto" w:fill="FFFFFF"/>
        </w:rPr>
        <w:t>二、人才培养目标与服务面向</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"_Toc27101" </w:instrText>
      </w:r>
      <w:r>
        <w:fldChar w:fldCharType="separate"/>
      </w:r>
      <w:r>
        <w:rPr>
          <w:rFonts w:hint="eastAsia" w:ascii="宋体" w:hAnsi="宋体" w:cs="宋体"/>
          <w:color w:val="000000"/>
          <w:sz w:val="24"/>
          <w:szCs w:val="24"/>
          <w:shd w:val="clear" w:color="auto" w:fill="FFFFFF"/>
        </w:rPr>
        <w:t>三、本科专业设置情况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"_Toc32010" </w:instrText>
      </w:r>
      <w:r>
        <w:fldChar w:fldCharType="separate"/>
      </w:r>
      <w:r>
        <w:rPr>
          <w:rFonts w:hint="eastAsia" w:ascii="宋体" w:hAnsi="宋体" w:cs="宋体"/>
          <w:color w:val="000000"/>
          <w:sz w:val="24"/>
          <w:szCs w:val="24"/>
          <w:shd w:val="clear" w:color="auto" w:fill="FFFFFF"/>
        </w:rPr>
        <w:t>四、全日制在校生情况及本科生所占比例</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7</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"_Toc28619" </w:instrText>
      </w:r>
      <w:r>
        <w:fldChar w:fldCharType="separate"/>
      </w:r>
      <w:r>
        <w:rPr>
          <w:rFonts w:hint="eastAsia" w:ascii="宋体" w:hAnsi="宋体" w:cs="宋体"/>
          <w:color w:val="000000"/>
          <w:sz w:val="24"/>
          <w:szCs w:val="24"/>
          <w:shd w:val="clear" w:color="auto" w:fill="FFFFFF"/>
        </w:rPr>
        <w:t>五、本科生源质量情况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7</w:t>
      </w:r>
      <w:r>
        <w:rPr>
          <w:rFonts w:hint="eastAsia" w:ascii="宋体" w:hAnsi="宋体" w:cs="宋体"/>
          <w:color w:val="000000"/>
          <w:sz w:val="24"/>
          <w:szCs w:val="24"/>
          <w:shd w:val="clear" w:color="auto" w:fill="FFFFFF"/>
        </w:rPr>
        <w:fldChar w:fldCharType="end"/>
      </w:r>
    </w:p>
    <w:p>
      <w:pPr>
        <w:pStyle w:val="6"/>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"_Toc24012" </w:instrText>
      </w:r>
      <w:r>
        <w:fldChar w:fldCharType="separate"/>
      </w:r>
      <w:r>
        <w:rPr>
          <w:rFonts w:hint="eastAsia" w:ascii="宋体" w:hAnsi="宋体" w:cs="宋体"/>
          <w:color w:val="000000"/>
          <w:sz w:val="24"/>
          <w:szCs w:val="24"/>
          <w:shd w:val="clear" w:color="auto" w:fill="FFFFFF"/>
        </w:rPr>
        <w:t>第二部分 师资与教学条件</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8</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"_Toc27781" </w:instrText>
      </w:r>
      <w:r>
        <w:fldChar w:fldCharType="separate"/>
      </w:r>
      <w:r>
        <w:rPr>
          <w:rFonts w:hint="eastAsia" w:ascii="宋体" w:hAnsi="宋体" w:cs="宋体"/>
          <w:color w:val="000000"/>
          <w:sz w:val="24"/>
          <w:szCs w:val="24"/>
          <w:shd w:val="clear" w:color="auto" w:fill="FFFFFF"/>
        </w:rPr>
        <w:t>一、师资队伍</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8</w:t>
      </w:r>
    </w:p>
    <w:p>
      <w:pPr>
        <w:pStyle w:val="3"/>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"_Toc27123" </w:instrText>
      </w:r>
      <w:r>
        <w:fldChar w:fldCharType="separate"/>
      </w:r>
      <w:r>
        <w:rPr>
          <w:rFonts w:hint="eastAsia" w:ascii="宋体" w:hAnsi="宋体" w:cs="宋体"/>
          <w:color w:val="000000"/>
          <w:sz w:val="24"/>
          <w:szCs w:val="24"/>
          <w:shd w:val="clear" w:color="auto" w:fill="FFFFFF"/>
        </w:rPr>
        <w:t>（一）生师比</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8</w:t>
      </w:r>
    </w:p>
    <w:p>
      <w:pPr>
        <w:pStyle w:val="3"/>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"_Toc5707" </w:instrText>
      </w:r>
      <w:r>
        <w:fldChar w:fldCharType="separate"/>
      </w:r>
      <w:r>
        <w:rPr>
          <w:rFonts w:hint="eastAsia" w:ascii="宋体" w:hAnsi="宋体" w:cs="宋体"/>
          <w:color w:val="000000"/>
          <w:sz w:val="24"/>
          <w:szCs w:val="24"/>
          <w:shd w:val="clear" w:color="auto" w:fill="FFFFFF"/>
        </w:rPr>
        <w:t>（二）职称结构</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9</w:t>
      </w:r>
    </w:p>
    <w:p>
      <w:pPr>
        <w:pStyle w:val="3"/>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"_Toc32523" </w:instrText>
      </w:r>
      <w:r>
        <w:fldChar w:fldCharType="separate"/>
      </w:r>
      <w:r>
        <w:rPr>
          <w:rFonts w:hint="eastAsia" w:ascii="宋体" w:hAnsi="宋体" w:cs="宋体"/>
          <w:color w:val="000000"/>
          <w:sz w:val="24"/>
          <w:szCs w:val="24"/>
          <w:shd w:val="clear" w:color="auto" w:fill="FFFFFF"/>
        </w:rPr>
        <w:t>（三）学位结构</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9</w:t>
      </w:r>
    </w:p>
    <w:p>
      <w:pPr>
        <w:pStyle w:val="3"/>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"_Toc10343" </w:instrText>
      </w:r>
      <w:r>
        <w:fldChar w:fldCharType="separate"/>
      </w:r>
      <w:r>
        <w:rPr>
          <w:rFonts w:hint="eastAsia" w:ascii="宋体" w:hAnsi="宋体" w:cs="宋体"/>
          <w:color w:val="000000"/>
          <w:sz w:val="24"/>
          <w:szCs w:val="24"/>
          <w:shd w:val="clear" w:color="auto" w:fill="FFFFFF"/>
        </w:rPr>
        <w:t>（四）年龄结构</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9</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"_Toc7204" </w:instrText>
      </w:r>
      <w:r>
        <w:fldChar w:fldCharType="separate"/>
      </w:r>
      <w:r>
        <w:rPr>
          <w:rFonts w:hint="eastAsia" w:ascii="宋体" w:hAnsi="宋体" w:cs="宋体"/>
          <w:color w:val="000000"/>
          <w:sz w:val="24"/>
          <w:szCs w:val="24"/>
          <w:shd w:val="clear" w:color="auto" w:fill="FFFFFF"/>
        </w:rPr>
        <w:t>二、本科主讲教师情况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9</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"_Toc910" </w:instrText>
      </w:r>
      <w:r>
        <w:fldChar w:fldCharType="separate"/>
      </w:r>
      <w:r>
        <w:rPr>
          <w:rFonts w:hint="eastAsia" w:ascii="宋体" w:hAnsi="宋体" w:cs="宋体"/>
          <w:color w:val="000000"/>
          <w:sz w:val="24"/>
          <w:szCs w:val="24"/>
          <w:shd w:val="clear" w:color="auto" w:fill="FFFFFF"/>
        </w:rPr>
        <w:t>三、教授承担本科课程情况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0</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"_Toc10313" </w:instrText>
      </w:r>
      <w:r>
        <w:fldChar w:fldCharType="separate"/>
      </w:r>
      <w:r>
        <w:rPr>
          <w:rFonts w:hint="eastAsia" w:ascii="宋体" w:hAnsi="宋体" w:cs="宋体"/>
          <w:color w:val="000000"/>
          <w:sz w:val="24"/>
          <w:szCs w:val="24"/>
          <w:shd w:val="clear" w:color="auto" w:fill="FFFFFF"/>
        </w:rPr>
        <w:t>四、教学经费投入</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0</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"_Toc781" </w:instrText>
      </w:r>
      <w:r>
        <w:fldChar w:fldCharType="separate"/>
      </w:r>
      <w:r>
        <w:rPr>
          <w:rFonts w:hint="eastAsia" w:ascii="宋体" w:hAnsi="宋体" w:cs="宋体"/>
          <w:color w:val="000000"/>
          <w:sz w:val="24"/>
          <w:szCs w:val="24"/>
          <w:shd w:val="clear" w:color="auto" w:fill="FFFFFF"/>
        </w:rPr>
        <w:t>五、教学设施条件</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1</w:t>
      </w:r>
    </w:p>
    <w:p>
      <w:pPr>
        <w:pStyle w:val="3"/>
        <w:shd w:val="clear" w:color="auto" w:fill="FFFFFF"/>
        <w:tabs>
          <w:tab w:val="right" w:leader="dot" w:pos="8306"/>
        </w:tabs>
        <w:spacing w:line="400" w:lineRule="exact"/>
        <w:jc w:val="lef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"_Toc804" </w:instrText>
      </w:r>
      <w:r>
        <w:fldChar w:fldCharType="separate"/>
      </w:r>
      <w:r>
        <w:rPr>
          <w:rFonts w:hint="eastAsia" w:ascii="宋体" w:hAnsi="宋体" w:cs="宋体"/>
          <w:color w:val="000000"/>
          <w:sz w:val="24"/>
          <w:szCs w:val="24"/>
          <w:shd w:val="clear" w:color="auto" w:fill="FFFFFF"/>
        </w:rPr>
        <w:t>（一）教学用房</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1</w:t>
      </w:r>
    </w:p>
    <w:p>
      <w:pPr>
        <w:pStyle w:val="3"/>
        <w:shd w:val="clear" w:color="auto" w:fill="FFFFFF"/>
        <w:tabs>
          <w:tab w:val="right" w:leader="dot" w:pos="8306"/>
        </w:tabs>
        <w:spacing w:line="400" w:lineRule="exact"/>
        <w:jc w:val="lef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"_Toc14308" </w:instrText>
      </w:r>
      <w:r>
        <w:fldChar w:fldCharType="separate"/>
      </w:r>
      <w:r>
        <w:rPr>
          <w:rFonts w:hint="eastAsia" w:ascii="宋体" w:hAnsi="宋体" w:cs="宋体"/>
          <w:color w:val="000000"/>
          <w:sz w:val="24"/>
          <w:szCs w:val="24"/>
          <w:shd w:val="clear" w:color="auto" w:fill="FFFFFF"/>
        </w:rPr>
        <w:t>（二）教学科研仪器设备与教学实验室</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2</w:t>
      </w:r>
    </w:p>
    <w:p>
      <w:pPr>
        <w:pStyle w:val="7"/>
        <w:shd w:val="clear" w:color="auto" w:fill="FFFFFF"/>
        <w:tabs>
          <w:tab w:val="right" w:leader="dot" w:pos="8306"/>
        </w:tabs>
        <w:spacing w:line="400" w:lineRule="exact"/>
        <w:ind w:left="0" w:leftChars="0" w:firstLine="840" w:firstLineChars="400"/>
        <w:jc w:val="lef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"_Toc2055" </w:instrText>
      </w:r>
      <w:r>
        <w:fldChar w:fldCharType="separate"/>
      </w:r>
      <w:r>
        <w:rPr>
          <w:rFonts w:hint="eastAsia" w:ascii="宋体" w:hAnsi="宋体" w:cs="宋体"/>
          <w:color w:val="000000"/>
          <w:sz w:val="24"/>
          <w:szCs w:val="24"/>
          <w:shd w:val="clear" w:color="auto" w:fill="FFFFFF"/>
        </w:rPr>
        <w:t>（三）图书馆及图书资源</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2</w:t>
      </w:r>
    </w:p>
    <w:p>
      <w:pPr>
        <w:pStyle w:val="6"/>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"_Toc25365" </w:instrText>
      </w:r>
      <w:r>
        <w:fldChar w:fldCharType="separate"/>
      </w:r>
      <w:r>
        <w:rPr>
          <w:rFonts w:hint="eastAsia" w:ascii="宋体" w:hAnsi="宋体" w:cs="宋体"/>
          <w:color w:val="000000"/>
          <w:sz w:val="24"/>
          <w:szCs w:val="24"/>
          <w:shd w:val="clear" w:color="auto" w:fill="FFFFFF"/>
        </w:rPr>
        <w:t>第三部分 教学建设与改革</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_Toc25365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"_Toc392" </w:instrText>
      </w:r>
      <w:r>
        <w:fldChar w:fldCharType="separate"/>
      </w:r>
      <w:r>
        <w:rPr>
          <w:rFonts w:hint="eastAsia" w:ascii="宋体" w:hAnsi="宋体" w:cs="宋体"/>
          <w:color w:val="000000"/>
          <w:sz w:val="24"/>
          <w:szCs w:val="24"/>
          <w:shd w:val="clear" w:color="auto" w:fill="FFFFFF"/>
        </w:rPr>
        <w:t>一、专业建设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_Toc392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"_Toc5373" </w:instrText>
      </w:r>
      <w:r>
        <w:fldChar w:fldCharType="separate"/>
      </w:r>
      <w:r>
        <w:rPr>
          <w:rFonts w:hint="eastAsia" w:ascii="宋体" w:hAnsi="宋体" w:cs="宋体"/>
          <w:color w:val="000000"/>
          <w:sz w:val="24"/>
          <w:szCs w:val="24"/>
          <w:shd w:val="clear" w:color="auto" w:fill="FFFFFF"/>
        </w:rPr>
        <w:t>二、课程建设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_Toc5373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3"/>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"_Toc21096" </w:instrText>
      </w:r>
      <w:r>
        <w:fldChar w:fldCharType="separate"/>
      </w:r>
      <w:r>
        <w:rPr>
          <w:rFonts w:hint="eastAsia" w:ascii="宋体" w:hAnsi="宋体" w:cs="宋体"/>
          <w:color w:val="000000"/>
          <w:sz w:val="24"/>
          <w:szCs w:val="24"/>
          <w:shd w:val="clear" w:color="auto" w:fill="FFFFFF"/>
        </w:rPr>
        <w:t>（一）课程体系</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_Toc21096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3"/>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"_Toc28271" </w:instrText>
      </w:r>
      <w:r>
        <w:fldChar w:fldCharType="separate"/>
      </w:r>
      <w:r>
        <w:rPr>
          <w:rFonts w:hint="eastAsia" w:ascii="宋体" w:hAnsi="宋体" w:cs="宋体"/>
          <w:color w:val="000000"/>
          <w:sz w:val="24"/>
          <w:szCs w:val="24"/>
          <w:shd w:val="clear" w:color="auto" w:fill="FFFFFF"/>
        </w:rPr>
        <w:t>（二）课程资源建设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_Toc28271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"_Toc14309" </w:instrText>
      </w:r>
      <w:r>
        <w:fldChar w:fldCharType="separate"/>
      </w:r>
      <w:r>
        <w:rPr>
          <w:rFonts w:hint="eastAsia" w:ascii="宋体" w:hAnsi="宋体" w:cs="宋体"/>
          <w:color w:val="000000"/>
          <w:sz w:val="24"/>
          <w:szCs w:val="24"/>
          <w:shd w:val="clear" w:color="auto" w:fill="FFFFFF"/>
        </w:rPr>
        <w:t>三、教材建设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4</w:t>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"_Toc6294" </w:instrText>
      </w:r>
      <w:r>
        <w:fldChar w:fldCharType="separate"/>
      </w:r>
      <w:r>
        <w:rPr>
          <w:rFonts w:hint="eastAsia" w:ascii="宋体" w:hAnsi="宋体" w:cs="宋体"/>
          <w:color w:val="000000"/>
          <w:sz w:val="24"/>
          <w:szCs w:val="24"/>
          <w:shd w:val="clear" w:color="auto" w:fill="FFFFFF"/>
        </w:rPr>
        <w:t>四、实践教学</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_Toc6294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14</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"_Toc14684" </w:instrText>
      </w:r>
      <w:r>
        <w:fldChar w:fldCharType="separate"/>
      </w:r>
      <w:r>
        <w:rPr>
          <w:rFonts w:hint="eastAsia" w:ascii="宋体" w:hAnsi="宋体" w:cs="宋体"/>
          <w:color w:val="000000"/>
          <w:sz w:val="24"/>
          <w:szCs w:val="24"/>
          <w:shd w:val="clear" w:color="auto" w:fill="FFFFFF"/>
        </w:rPr>
        <w:t>五、本科毕业论文（设计）</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_Toc14684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14</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val="en-US" w:eastAsia="zh-CN"/>
        </w:rPr>
      </w:pPr>
      <w:r>
        <w:fldChar w:fldCharType="begin"/>
      </w:r>
      <w:r>
        <w:instrText xml:space="preserve"> HYPERLINK \l "_Toc31297" </w:instrText>
      </w:r>
      <w:r>
        <w:fldChar w:fldCharType="separate"/>
      </w:r>
      <w:r>
        <w:rPr>
          <w:rFonts w:hint="eastAsia" w:ascii="宋体" w:hAnsi="宋体" w:cs="宋体"/>
          <w:color w:val="000000"/>
          <w:sz w:val="24"/>
          <w:szCs w:val="24"/>
          <w:shd w:val="clear" w:color="auto" w:fill="FFFFFF"/>
        </w:rPr>
        <w:t>六、创新创业教育</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5</w:t>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"_Toc32085" </w:instrText>
      </w:r>
      <w:r>
        <w:fldChar w:fldCharType="separate"/>
      </w:r>
      <w:r>
        <w:rPr>
          <w:rFonts w:hint="eastAsia" w:ascii="宋体" w:hAnsi="宋体" w:cs="宋体"/>
          <w:color w:val="000000"/>
          <w:sz w:val="24"/>
          <w:szCs w:val="24"/>
          <w:shd w:val="clear" w:color="auto" w:fill="FFFFFF"/>
        </w:rPr>
        <w:t>七、教学改革</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fldChar w:fldCharType="begin"/>
      </w:r>
      <w:r>
        <w:rPr>
          <w:rFonts w:hint="eastAsia" w:ascii="宋体" w:hAnsi="宋体" w:cs="宋体"/>
          <w:color w:val="000000"/>
          <w:sz w:val="24"/>
          <w:szCs w:val="24"/>
          <w:shd w:val="clear" w:color="auto" w:fill="FFFFFF"/>
        </w:rPr>
        <w:instrText xml:space="preserve"> PAGEREF _Toc32085 </w:instrText>
      </w:r>
      <w:r>
        <w:rPr>
          <w:rFonts w:hint="eastAsia" w:ascii="宋体" w:hAnsi="宋体" w:cs="宋体"/>
          <w:color w:val="000000"/>
          <w:sz w:val="24"/>
          <w:szCs w:val="24"/>
          <w:shd w:val="clear" w:color="auto" w:fill="FFFFFF"/>
        </w:rPr>
        <w:fldChar w:fldCharType="separate"/>
      </w:r>
      <w:r>
        <w:rPr>
          <w:rFonts w:hint="eastAsia" w:ascii="宋体" w:hAnsi="宋体" w:cs="宋体"/>
          <w:color w:val="000000"/>
          <w:sz w:val="24"/>
          <w:szCs w:val="24"/>
          <w:shd w:val="clear" w:color="auto" w:fill="FFFFFF"/>
        </w:rPr>
        <w:t>15</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fldChar w:fldCharType="end"/>
      </w:r>
    </w:p>
    <w:p>
      <w:pPr>
        <w:pStyle w:val="6"/>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"_Toc19652" </w:instrText>
      </w:r>
      <w:r>
        <w:fldChar w:fldCharType="separate"/>
      </w:r>
      <w:r>
        <w:rPr>
          <w:rFonts w:hint="eastAsia" w:ascii="宋体" w:hAnsi="宋体" w:cs="宋体"/>
          <w:color w:val="000000"/>
          <w:sz w:val="24"/>
          <w:szCs w:val="24"/>
          <w:shd w:val="clear" w:color="auto" w:fill="FFFFFF"/>
        </w:rPr>
        <w:t>第四部分 专业培养能力</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6</w:t>
      </w:r>
    </w:p>
    <w:p>
      <w:pPr>
        <w:pStyle w:val="6"/>
        <w:shd w:val="clear" w:color="auto" w:fill="FFFFFF"/>
        <w:tabs>
          <w:tab w:val="right" w:leader="dot" w:pos="8306"/>
        </w:tabs>
        <w:spacing w:line="400" w:lineRule="exact"/>
        <w:ind w:firstLine="240" w:firstLineChars="100"/>
        <w:rPr>
          <w:rFonts w:hint="eastAsia" w:ascii="宋体" w:hAnsi="宋体" w:cs="宋体" w:eastAsiaTheme="minorEastAsia"/>
          <w:color w:val="000000"/>
          <w:sz w:val="24"/>
          <w:szCs w:val="24"/>
          <w:shd w:val="clear" w:color="auto" w:fill="FFFFFF"/>
          <w:lang w:eastAsia="zh-CN"/>
        </w:rPr>
      </w:pPr>
      <w:r>
        <w:rPr>
          <w:rFonts w:hint="eastAsia" w:ascii="宋体" w:hAnsi="宋体" w:cs="宋体"/>
          <w:color w:val="000000"/>
          <w:sz w:val="24"/>
          <w:szCs w:val="24"/>
          <w:shd w:val="clear" w:color="auto" w:fill="FFFFFF"/>
        </w:rPr>
        <w:t>一、以应用型人才培养为目标，持续优化人才培养方案..................1</w:t>
      </w:r>
      <w:r>
        <w:rPr>
          <w:rFonts w:hint="eastAsia" w:ascii="宋体" w:hAnsi="宋体" w:cs="宋体"/>
          <w:color w:val="000000"/>
          <w:sz w:val="24"/>
          <w:szCs w:val="24"/>
          <w:shd w:val="clear" w:color="auto" w:fill="FFFFFF"/>
          <w:lang w:val="en-US" w:eastAsia="zh-CN"/>
        </w:rPr>
        <w:t>6</w:t>
      </w:r>
    </w:p>
    <w:p>
      <w:pPr>
        <w:pStyle w:val="6"/>
        <w:shd w:val="clear" w:color="auto" w:fill="FFFFFF"/>
        <w:tabs>
          <w:tab w:val="right" w:leader="dot" w:pos="8306"/>
        </w:tabs>
        <w:spacing w:line="400" w:lineRule="exact"/>
        <w:ind w:firstLine="240"/>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"_Toc19652" </w:instrText>
      </w:r>
      <w:r>
        <w:fldChar w:fldCharType="separate"/>
      </w:r>
      <w:r>
        <w:rPr>
          <w:rFonts w:hint="eastAsia" w:ascii="宋体" w:hAnsi="宋体" w:cs="宋体"/>
          <w:color w:val="000000"/>
          <w:sz w:val="24"/>
          <w:szCs w:val="24"/>
          <w:shd w:val="clear" w:color="auto" w:fill="FFFFFF"/>
        </w:rPr>
        <w:t>二</w:t>
      </w:r>
      <w:r>
        <w:rPr>
          <w:rFonts w:hint="eastAsia" w:ascii="宋体" w:hAnsi="宋体" w:cs="宋体"/>
          <w:color w:val="000000"/>
          <w:sz w:val="24"/>
          <w:szCs w:val="24"/>
          <w:shd w:val="clear" w:color="auto" w:fill="FFFFFF"/>
          <w:lang w:val="zh-CN"/>
        </w:rPr>
        <w:t>、</w:t>
      </w:r>
      <w:bookmarkStart w:id="1" w:name="_Hlt152776538"/>
      <w:bookmarkEnd w:id="1"/>
      <w:r>
        <w:rPr>
          <w:rFonts w:hint="eastAsia" w:ascii="宋体" w:hAnsi="宋体" w:cs="宋体"/>
          <w:color w:val="000000"/>
          <w:sz w:val="24"/>
          <w:szCs w:val="24"/>
          <w:shd w:val="clear" w:color="auto" w:fill="FFFFFF"/>
        </w:rPr>
        <w:t>以服务</w:t>
      </w:r>
      <w:r>
        <w:rPr>
          <w:rFonts w:hint="eastAsia" w:ascii="宋体" w:hAnsi="宋体" w:cs="宋体"/>
          <w:color w:val="000000"/>
          <w:sz w:val="24"/>
          <w:szCs w:val="24"/>
          <w:shd w:val="clear" w:color="auto" w:fill="FFFFFF"/>
          <w:lang w:val="zh-CN"/>
        </w:rPr>
        <w:t>“</w:t>
      </w:r>
      <w:r>
        <w:rPr>
          <w:rFonts w:hint="eastAsia" w:ascii="宋体" w:hAnsi="宋体" w:cs="宋体"/>
          <w:color w:val="000000"/>
          <w:sz w:val="24"/>
          <w:szCs w:val="24"/>
          <w:shd w:val="clear" w:color="auto" w:fill="FFFFFF"/>
        </w:rPr>
        <w:t>十大新兴产业</w:t>
      </w:r>
      <w:r>
        <w:rPr>
          <w:rFonts w:hint="eastAsia" w:ascii="宋体" w:hAnsi="宋体" w:cs="宋体"/>
          <w:color w:val="000000"/>
          <w:sz w:val="24"/>
          <w:szCs w:val="24"/>
          <w:shd w:val="clear" w:color="auto" w:fill="FFFFFF"/>
          <w:lang w:val="zh-CN"/>
        </w:rPr>
        <w:t>”</w:t>
      </w:r>
      <w:r>
        <w:rPr>
          <w:rFonts w:hint="eastAsia" w:ascii="宋体" w:hAnsi="宋体" w:cs="宋体"/>
          <w:color w:val="000000"/>
          <w:sz w:val="24"/>
          <w:szCs w:val="24"/>
          <w:shd w:val="clear" w:color="auto" w:fill="FFFFFF"/>
        </w:rPr>
        <w:t>发展为抓手，</w:t>
      </w:r>
      <w:r>
        <w:rPr>
          <w:rFonts w:hint="eastAsia" w:ascii="宋体" w:hAnsi="宋体" w:cs="宋体"/>
          <w:color w:val="000000"/>
          <w:sz w:val="24"/>
          <w:szCs w:val="24"/>
          <w:shd w:val="clear" w:color="auto" w:fill="FFFFFF"/>
          <w:lang w:val="zh-CN"/>
        </w:rPr>
        <w:t>推进专业优化调整</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6</w:t>
      </w:r>
    </w:p>
    <w:p>
      <w:pPr>
        <w:pStyle w:val="6"/>
        <w:shd w:val="clear" w:color="auto" w:fill="FFFFFF"/>
        <w:tabs>
          <w:tab w:val="right" w:leader="dot" w:pos="8306"/>
        </w:tabs>
        <w:spacing w:line="400" w:lineRule="exact"/>
        <w:ind w:firstLine="210" w:firstLineChars="100"/>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"_Toc19652" </w:instrText>
      </w:r>
      <w:r>
        <w:fldChar w:fldCharType="separate"/>
      </w:r>
      <w:r>
        <w:rPr>
          <w:rFonts w:hint="eastAsia" w:ascii="宋体" w:hAnsi="宋体" w:cs="宋体"/>
          <w:color w:val="000000"/>
          <w:sz w:val="24"/>
          <w:szCs w:val="24"/>
          <w:shd w:val="clear" w:color="auto" w:fill="FFFFFF"/>
        </w:rPr>
        <w:t>三、</w:t>
      </w:r>
      <w:r>
        <w:rPr>
          <w:rFonts w:hint="eastAsia" w:ascii="宋体" w:hAnsi="宋体" w:cs="宋体"/>
          <w:color w:val="000000"/>
          <w:sz w:val="24"/>
          <w:szCs w:val="24"/>
          <w:shd w:val="clear" w:color="auto" w:fill="FFFFFF"/>
          <w:lang w:val="zh-CN"/>
        </w:rPr>
        <w:t>以创建“双万”计划为契机，大力实施一流专业建设</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6</w:t>
      </w:r>
    </w:p>
    <w:p>
      <w:pPr>
        <w:pStyle w:val="6"/>
        <w:shd w:val="clear" w:color="auto" w:fill="FFFFFF"/>
        <w:tabs>
          <w:tab w:val="right" w:leader="dot" w:pos="8306"/>
        </w:tabs>
        <w:spacing w:line="400" w:lineRule="exact"/>
        <w:ind w:firstLine="210" w:firstLineChars="100"/>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"_Toc19652" </w:instrText>
      </w:r>
      <w:r>
        <w:fldChar w:fldCharType="separate"/>
      </w:r>
      <w:r>
        <w:rPr>
          <w:rFonts w:hint="eastAsia" w:ascii="宋体" w:hAnsi="宋体" w:cs="宋体"/>
          <w:color w:val="000000"/>
          <w:sz w:val="24"/>
          <w:szCs w:val="24"/>
          <w:shd w:val="clear" w:color="auto" w:fill="FFFFFF"/>
        </w:rPr>
        <w:t>四、</w:t>
      </w:r>
      <w:r>
        <w:rPr>
          <w:rFonts w:hint="eastAsia" w:ascii="宋体" w:hAnsi="宋体" w:cs="宋体"/>
          <w:color w:val="000000"/>
          <w:sz w:val="24"/>
          <w:szCs w:val="24"/>
          <w:shd w:val="clear" w:color="auto" w:fill="FFFFFF"/>
          <w:lang w:val="zh-CN"/>
        </w:rPr>
        <w:t>以工程教育专业认证为先导，全面</w:t>
      </w:r>
      <w:r>
        <w:rPr>
          <w:rFonts w:hint="eastAsia" w:ascii="宋体" w:hAnsi="宋体" w:cs="宋体"/>
          <w:color w:val="000000"/>
          <w:sz w:val="24"/>
          <w:szCs w:val="24"/>
          <w:shd w:val="clear" w:color="auto" w:fill="FFFFFF"/>
        </w:rPr>
        <w:t>开展</w:t>
      </w:r>
      <w:r>
        <w:rPr>
          <w:rFonts w:hint="eastAsia" w:ascii="宋体" w:hAnsi="宋体" w:cs="宋体"/>
          <w:color w:val="000000"/>
          <w:sz w:val="24"/>
          <w:szCs w:val="24"/>
          <w:shd w:val="clear" w:color="auto" w:fill="FFFFFF"/>
          <w:lang w:val="zh-CN"/>
        </w:rPr>
        <w:t>专业认证</w:t>
      </w:r>
      <w:r>
        <w:rPr>
          <w:rFonts w:hint="eastAsia" w:ascii="宋体" w:hAnsi="宋体" w:cs="宋体"/>
          <w:color w:val="000000"/>
          <w:sz w:val="24"/>
          <w:szCs w:val="24"/>
          <w:shd w:val="clear" w:color="auto" w:fill="FFFFFF"/>
        </w:rPr>
        <w:t>工作</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7</w:t>
      </w:r>
    </w:p>
    <w:p>
      <w:pPr>
        <w:pStyle w:val="6"/>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"_Toc19652" </w:instrText>
      </w:r>
      <w:r>
        <w:fldChar w:fldCharType="separate"/>
      </w:r>
      <w:r>
        <w:rPr>
          <w:rFonts w:hint="eastAsia" w:ascii="宋体" w:hAnsi="宋体" w:cs="宋体"/>
          <w:color w:val="000000"/>
          <w:sz w:val="24"/>
          <w:szCs w:val="24"/>
          <w:shd w:val="clear" w:color="auto" w:fill="FFFFFF"/>
        </w:rPr>
        <w:t>第五部分 质量保障体系</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7</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"_Toc5797" </w:instrText>
      </w:r>
      <w:r>
        <w:fldChar w:fldCharType="separate"/>
      </w:r>
      <w:r>
        <w:rPr>
          <w:rFonts w:hint="eastAsia" w:ascii="宋体" w:hAnsi="宋体" w:cs="宋体"/>
          <w:color w:val="000000"/>
          <w:sz w:val="24"/>
          <w:szCs w:val="24"/>
          <w:shd w:val="clear" w:color="auto" w:fill="FFFFFF"/>
        </w:rPr>
        <w:t>一、人才培养中心地位落实情况</w:t>
      </w:r>
      <w:r>
        <w:rPr>
          <w:rFonts w:hint="eastAsia" w:ascii="宋体" w:hAnsi="宋体" w:cs="宋体"/>
          <w:color w:val="000000"/>
          <w:sz w:val="24"/>
          <w:szCs w:val="24"/>
          <w:shd w:val="clear" w:color="auto" w:fill="FFFFFF"/>
          <w:lang w:val="en-US" w:eastAsia="zh-CN"/>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7</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"_Toc2532" </w:instrText>
      </w:r>
      <w:r>
        <w:fldChar w:fldCharType="separate"/>
      </w:r>
      <w:r>
        <w:rPr>
          <w:rFonts w:hint="eastAsia" w:ascii="宋体" w:hAnsi="宋体" w:cs="宋体"/>
          <w:color w:val="000000"/>
          <w:sz w:val="24"/>
          <w:szCs w:val="24"/>
          <w:shd w:val="clear" w:color="auto" w:fill="FFFFFF"/>
        </w:rPr>
        <w:t>二、教学管理与质量监控情况</w:t>
      </w:r>
      <w:r>
        <w:rPr>
          <w:rFonts w:hint="eastAsia" w:ascii="宋体" w:hAnsi="宋体" w:cs="宋体"/>
          <w:color w:val="000000"/>
          <w:sz w:val="24"/>
          <w:szCs w:val="24"/>
          <w:shd w:val="clear" w:color="auto" w:fill="FFFFFF"/>
          <w:lang w:val="en-US" w:eastAsia="zh-CN"/>
        </w:rPr>
        <w:t>......................................1</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8</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rPr>
          <w:rFonts w:hint="eastAsia" w:ascii="宋体" w:hAnsi="宋体" w:cs="宋体"/>
          <w:color w:val="000000"/>
          <w:sz w:val="24"/>
          <w:szCs w:val="24"/>
          <w:shd w:val="clear" w:color="auto" w:fill="FFFFFF"/>
        </w:rPr>
        <w:t>三、教学质量保障体系建设、日常监控及运行情况</w:t>
      </w:r>
      <w:r>
        <w:rPr>
          <w:rFonts w:hint="eastAsia" w:ascii="宋体" w:hAnsi="宋体" w:cs="宋体"/>
          <w:color w:val="000000"/>
          <w:sz w:val="24"/>
          <w:szCs w:val="24"/>
          <w:shd w:val="clear" w:color="auto" w:fill="FFFFFF"/>
          <w:lang w:val="en-US" w:eastAsia="zh-CN"/>
        </w:rPr>
        <w:t>....................18</w:t>
      </w:r>
    </w:p>
    <w:p>
      <w:pPr>
        <w:pStyle w:val="6"/>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"_Toc1038" </w:instrText>
      </w:r>
      <w:r>
        <w:fldChar w:fldCharType="separate"/>
      </w:r>
      <w:r>
        <w:rPr>
          <w:rFonts w:hint="eastAsia" w:ascii="宋体" w:hAnsi="宋体" w:cs="宋体"/>
          <w:color w:val="000000"/>
          <w:sz w:val="24"/>
          <w:szCs w:val="24"/>
          <w:shd w:val="clear" w:color="auto" w:fill="FFFFFF"/>
        </w:rPr>
        <w:t>第六部分 学生学习效果</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0</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"_Toc10714" </w:instrText>
      </w:r>
      <w:r>
        <w:fldChar w:fldCharType="separate"/>
      </w:r>
      <w:r>
        <w:rPr>
          <w:rFonts w:hint="eastAsia" w:ascii="宋体" w:hAnsi="宋体" w:cs="宋体"/>
          <w:color w:val="000000"/>
          <w:sz w:val="24"/>
          <w:szCs w:val="24"/>
          <w:shd w:val="clear" w:color="auto" w:fill="FFFFFF"/>
        </w:rPr>
        <w:t>一、毕业与就业</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0</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"_Toc21407" </w:instrText>
      </w:r>
      <w:r>
        <w:fldChar w:fldCharType="separate"/>
      </w:r>
      <w:r>
        <w:rPr>
          <w:rFonts w:hint="eastAsia" w:ascii="宋体" w:hAnsi="宋体" w:cs="宋体"/>
          <w:color w:val="000000"/>
          <w:sz w:val="24"/>
          <w:szCs w:val="24"/>
          <w:shd w:val="clear" w:color="auto" w:fill="FFFFFF"/>
        </w:rPr>
        <w:t>二、学生获奖情况</w:t>
      </w:r>
      <w:r>
        <w:rPr>
          <w:rFonts w:hint="eastAsia" w:ascii="宋体" w:hAnsi="宋体" w:cs="宋体"/>
          <w:color w:val="000000"/>
          <w:sz w:val="24"/>
          <w:szCs w:val="24"/>
          <w:shd w:val="clear" w:color="auto" w:fill="FFFFFF"/>
          <w:lang w:val="en-US" w:eastAsia="zh-CN"/>
        </w:rPr>
        <w:t>................................................</w:t>
      </w:r>
      <w:r>
        <w:rPr>
          <w:rFonts w:hint="eastAsia" w:ascii="宋体" w:hAnsi="宋体" w:cs="宋体"/>
          <w:color w:val="000000"/>
          <w:sz w:val="24"/>
          <w:szCs w:val="24"/>
          <w:shd w:val="clear" w:color="auto" w:fill="FFFFFF"/>
        </w:rPr>
        <w:t>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0</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val="en-US" w:eastAsia="zh-CN"/>
        </w:rPr>
      </w:pPr>
      <w:r>
        <w:fldChar w:fldCharType="begin"/>
      </w:r>
      <w:r>
        <w:instrText xml:space="preserve"> HYPERLINK \l "_Toc32198" </w:instrText>
      </w:r>
      <w:r>
        <w:fldChar w:fldCharType="separate"/>
      </w:r>
      <w:r>
        <w:rPr>
          <w:rFonts w:hint="eastAsia" w:ascii="宋体" w:hAnsi="宋体" w:cs="宋体"/>
          <w:color w:val="000000"/>
          <w:sz w:val="24"/>
          <w:szCs w:val="24"/>
          <w:shd w:val="clear" w:color="auto" w:fill="FFFFFF"/>
        </w:rPr>
        <w:t>三、学生其他学习成效情况</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lang w:val="en-US" w:eastAsia="zh-CN"/>
        </w:rPr>
        <w:t>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1</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"_Toc28430" </w:instrText>
      </w:r>
      <w:r>
        <w:fldChar w:fldCharType="separate"/>
      </w:r>
      <w:r>
        <w:rPr>
          <w:rFonts w:hint="eastAsia" w:ascii="宋体" w:hAnsi="宋体" w:cs="宋体"/>
          <w:color w:val="000000"/>
          <w:sz w:val="24"/>
          <w:szCs w:val="24"/>
          <w:shd w:val="clear" w:color="auto" w:fill="FFFFFF"/>
        </w:rPr>
        <w:t>四、师生满意度调查结果分析</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2</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1</w:t>
      </w:r>
    </w:p>
    <w:p>
      <w:pPr>
        <w:pStyle w:val="6"/>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"_Toc22045" </w:instrText>
      </w:r>
      <w:r>
        <w:fldChar w:fldCharType="separate"/>
      </w:r>
      <w:r>
        <w:rPr>
          <w:rFonts w:hint="eastAsia" w:ascii="宋体" w:hAnsi="宋体" w:cs="宋体"/>
          <w:color w:val="000000"/>
          <w:sz w:val="24"/>
          <w:szCs w:val="24"/>
          <w:shd w:val="clear" w:color="auto" w:fill="FFFFFF"/>
        </w:rPr>
        <w:t xml:space="preserve">第七部分 </w:t>
      </w:r>
      <w:r>
        <w:rPr>
          <w:rFonts w:hint="eastAsia" w:ascii="宋体" w:hAnsi="宋体" w:cs="宋体"/>
          <w:sz w:val="24"/>
          <w:szCs w:val="24"/>
          <w:shd w:val="clear" w:color="auto" w:fill="FFFFFF"/>
        </w:rPr>
        <w:t>特色做</w:t>
      </w:r>
      <w:r>
        <w:rPr>
          <w:rFonts w:hint="eastAsia" w:ascii="宋体" w:hAnsi="宋体" w:cs="宋体"/>
          <w:color w:val="000000"/>
          <w:sz w:val="24"/>
          <w:szCs w:val="24"/>
          <w:shd w:val="clear" w:color="auto" w:fill="FFFFFF"/>
        </w:rPr>
        <w:t>法</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1</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rPr>
          <w:rFonts w:hint="eastAsia" w:ascii="宋体" w:hAnsi="宋体" w:cs="宋体"/>
          <w:color w:val="000000"/>
          <w:sz w:val="24"/>
          <w:szCs w:val="24"/>
          <w:shd w:val="clear" w:color="auto" w:fill="FFFFFF"/>
        </w:rPr>
        <w:t>一、聚焦立德树人，着力构建“大思政”格局</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1</w:t>
      </w:r>
    </w:p>
    <w:p>
      <w:pPr>
        <w:pStyle w:val="7"/>
        <w:shd w:val="clear" w:color="auto" w:fill="FFFFFF"/>
        <w:tabs>
          <w:tab w:val="right" w:leader="dot" w:pos="8306"/>
        </w:tabs>
        <w:spacing w:line="400" w:lineRule="exact"/>
        <w:rPr>
          <w:color w:val="000000"/>
          <w:shd w:val="clear" w:color="auto" w:fill="FFFFFF"/>
        </w:rPr>
      </w:pPr>
      <w:r>
        <w:fldChar w:fldCharType="begin"/>
      </w:r>
      <w:r>
        <w:instrText xml:space="preserve"> HYPERLINK \l "_Toc13925" </w:instrText>
      </w:r>
      <w:r>
        <w:fldChar w:fldCharType="separate"/>
      </w:r>
      <w:r>
        <w:rPr>
          <w:rFonts w:hint="eastAsia" w:ascii="宋体" w:hAnsi="宋体" w:cs="宋体"/>
          <w:color w:val="000000"/>
          <w:sz w:val="24"/>
          <w:szCs w:val="24"/>
          <w:shd w:val="clear" w:color="auto" w:fill="FFFFFF"/>
        </w:rPr>
        <w:t>二、聚焦高质量内涵发展，着力加强学科专业建设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2</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color w:val="000000"/>
          <w:shd w:val="clear" w:color="auto" w:fill="FFFFFF"/>
        </w:rPr>
      </w:pPr>
      <w:r>
        <w:fldChar w:fldCharType="begin"/>
      </w:r>
      <w:r>
        <w:instrText xml:space="preserve"> HYPERLINK \l "_Toc9790" </w:instrText>
      </w:r>
      <w:r>
        <w:fldChar w:fldCharType="separate"/>
      </w:r>
      <w:r>
        <w:rPr>
          <w:rFonts w:hint="eastAsia" w:ascii="宋体" w:hAnsi="宋体" w:cs="宋体"/>
          <w:color w:val="000000"/>
          <w:sz w:val="24"/>
          <w:szCs w:val="24"/>
          <w:shd w:val="clear" w:color="auto" w:fill="FFFFFF"/>
        </w:rPr>
        <w:t>三</w:t>
      </w:r>
      <w:r>
        <w:rPr>
          <w:rFonts w:hint="eastAsia" w:ascii="宋体" w:hAnsi="宋体" w:cs="宋体"/>
          <w:color w:val="000000"/>
          <w:sz w:val="24"/>
          <w:szCs w:val="24"/>
          <w:shd w:val="clear" w:color="auto" w:fill="FFFFFF"/>
          <w:lang w:val="zh-CN"/>
        </w:rPr>
        <w:t>、聚焦锻造“金师”，着力促进教师能力提升</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2</w:t>
      </w:r>
      <w:r>
        <w:rPr>
          <w:rFonts w:hint="eastAsia" w:ascii="宋体" w:hAnsi="宋体" w:cs="宋体"/>
          <w:color w:val="000000"/>
          <w:sz w:val="24"/>
          <w:szCs w:val="24"/>
          <w:shd w:val="clear" w:color="auto" w:fill="FFFFFF"/>
        </w:rPr>
        <w:fldChar w:fldCharType="end"/>
      </w:r>
    </w:p>
    <w:p>
      <w:pPr>
        <w:pStyle w:val="6"/>
        <w:shd w:val="clear" w:color="auto" w:fill="FFFFFF"/>
        <w:tabs>
          <w:tab w:val="right" w:leader="dot" w:pos="8306"/>
        </w:tabs>
        <w:spacing w:line="400" w:lineRule="exact"/>
        <w:ind w:firstLine="480" w:firstLineChars="200"/>
        <w:rPr>
          <w:rFonts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rPr>
        <w:t>四、聚焦创新创业教育，构建双创实践育人体系......................33</w:t>
      </w:r>
    </w:p>
    <w:p>
      <w:pPr>
        <w:pStyle w:val="6"/>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"_Toc27965" </w:instrText>
      </w:r>
      <w:r>
        <w:fldChar w:fldCharType="separate"/>
      </w:r>
      <w:r>
        <w:rPr>
          <w:rFonts w:hint="eastAsia" w:ascii="宋体" w:hAnsi="宋体" w:cs="宋体"/>
          <w:color w:val="000000"/>
          <w:sz w:val="24"/>
          <w:szCs w:val="24"/>
          <w:shd w:val="clear" w:color="auto" w:fill="FFFFFF"/>
        </w:rPr>
        <w:t>第八部分 存在的问题及解决措施</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4</w:t>
      </w:r>
    </w:p>
    <w:p>
      <w:pPr>
        <w:pStyle w:val="7"/>
        <w:shd w:val="clear" w:color="auto" w:fill="FFFFFF"/>
        <w:tabs>
          <w:tab w:val="right" w:leader="dot" w:pos="8306"/>
        </w:tabs>
        <w:spacing w:line="400" w:lineRule="exact"/>
        <w:rPr>
          <w:rFonts w:ascii="宋体" w:hAnsi="宋体" w:eastAsia="宋体" w:cs="宋体"/>
          <w:color w:val="000000"/>
          <w:sz w:val="24"/>
          <w:szCs w:val="24"/>
          <w:shd w:val="clear" w:color="auto" w:fill="FFFFFF"/>
        </w:rPr>
      </w:pPr>
      <w:r>
        <w:fldChar w:fldCharType="begin"/>
      </w:r>
      <w:r>
        <w:instrText xml:space="preserve"> HYPERLINK \l "_Toc11097" </w:instrText>
      </w:r>
      <w:r>
        <w:fldChar w:fldCharType="separate"/>
      </w:r>
      <w:r>
        <w:rPr>
          <w:rFonts w:hint="eastAsia" w:ascii="宋体" w:hAnsi="宋体" w:cs="宋体"/>
          <w:color w:val="000000"/>
          <w:sz w:val="24"/>
          <w:szCs w:val="24"/>
          <w:shd w:val="clear" w:color="auto" w:fill="FFFFFF"/>
          <w:lang w:val="zh-CN"/>
        </w:rPr>
        <w:t>一、存在的问题</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t>4</w:t>
      </w:r>
    </w:p>
    <w:p>
      <w:pPr>
        <w:pStyle w:val="7"/>
        <w:shd w:val="clear" w:color="auto" w:fill="FFFFFF"/>
        <w:tabs>
          <w:tab w:val="right" w:leader="dot" w:pos="8306"/>
        </w:tabs>
        <w:spacing w:line="400" w:lineRule="exact"/>
        <w:rPr>
          <w:rFonts w:hint="eastAsia" w:ascii="宋体" w:hAnsi="宋体" w:cs="宋体" w:eastAsiaTheme="minorEastAsia"/>
          <w:color w:val="000000"/>
          <w:sz w:val="24"/>
          <w:szCs w:val="24"/>
          <w:shd w:val="clear" w:color="auto" w:fill="FFFFFF"/>
          <w:lang w:eastAsia="zh-CN"/>
        </w:rPr>
      </w:pPr>
      <w:r>
        <w:fldChar w:fldCharType="begin"/>
      </w:r>
      <w:r>
        <w:instrText xml:space="preserve"> HYPERLINK \l "_Toc11097" </w:instrText>
      </w:r>
      <w:r>
        <w:fldChar w:fldCharType="separate"/>
      </w:r>
      <w:r>
        <w:rPr>
          <w:rFonts w:hint="eastAsia" w:ascii="宋体" w:hAnsi="宋体" w:cs="宋体"/>
          <w:color w:val="000000"/>
          <w:sz w:val="24"/>
          <w:szCs w:val="24"/>
          <w:shd w:val="clear" w:color="auto" w:fill="FFFFFF"/>
        </w:rPr>
        <w:t>二</w:t>
      </w:r>
      <w:r>
        <w:rPr>
          <w:rFonts w:hint="eastAsia" w:ascii="宋体" w:hAnsi="宋体" w:cs="宋体"/>
          <w:color w:val="000000"/>
          <w:sz w:val="24"/>
          <w:szCs w:val="24"/>
          <w:shd w:val="clear" w:color="auto" w:fill="FFFFFF"/>
          <w:lang w:val="zh-CN"/>
        </w:rPr>
        <w:t>、</w:t>
      </w:r>
      <w:r>
        <w:rPr>
          <w:rFonts w:hint="eastAsia" w:ascii="宋体" w:hAnsi="宋体" w:cs="宋体"/>
          <w:color w:val="000000"/>
          <w:sz w:val="24"/>
          <w:szCs w:val="24"/>
          <w:shd w:val="clear" w:color="auto" w:fill="FFFFFF"/>
        </w:rPr>
        <w:t>对策和措施</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lang w:val="en-US" w:eastAsia="zh-CN"/>
        </w:rPr>
        <w:t>4</w:t>
      </w:r>
    </w:p>
    <w:p>
      <w:pPr>
        <w:pStyle w:val="7"/>
        <w:shd w:val="clear" w:color="auto" w:fill="FFFFFF"/>
        <w:tabs>
          <w:tab w:val="right" w:leader="dot" w:pos="8306"/>
        </w:tabs>
        <w:spacing w:line="400" w:lineRule="exact"/>
        <w:rPr>
          <w:rFonts w:eastAsia="黑体"/>
          <w:color w:val="000000"/>
          <w:szCs w:val="36"/>
          <w:shd w:val="clear" w:color="auto" w:fill="FFFFFF"/>
        </w:rPr>
      </w:pPr>
      <w:r>
        <w:fldChar w:fldCharType="begin"/>
      </w:r>
      <w:r>
        <w:instrText xml:space="preserve"> HYPERLINK \l "_Toc19355" </w:instrText>
      </w:r>
      <w:r>
        <w:fldChar w:fldCharType="separate"/>
      </w:r>
      <w:r>
        <w:rPr>
          <w:rFonts w:hint="eastAsia" w:ascii="宋体" w:hAnsi="宋体" w:cs="宋体"/>
          <w:color w:val="000000"/>
          <w:sz w:val="24"/>
          <w:szCs w:val="24"/>
          <w:shd w:val="clear" w:color="auto" w:fill="FFFFFF"/>
        </w:rPr>
        <w:t>（一）围绕十大新兴产业，全面推进一流专业建设</w:t>
      </w:r>
      <w:r>
        <w:rPr>
          <w:rFonts w:hint="eastAsia" w:ascii="宋体" w:hAnsi="宋体" w:cs="宋体"/>
          <w:color w:val="000000"/>
          <w:sz w:val="24"/>
          <w:szCs w:val="24"/>
          <w:shd w:val="clear" w:color="auto" w:fill="FFFFFF"/>
        </w:rPr>
        <w:tab/>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r>
        <w:rPr>
          <w:rFonts w:eastAsia="黑体"/>
          <w:color w:val="000000"/>
          <w:szCs w:val="36"/>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"_Toc19355" </w:instrText>
      </w:r>
      <w:r>
        <w:fldChar w:fldCharType="separate"/>
      </w:r>
      <w:r>
        <w:rPr>
          <w:rFonts w:hint="eastAsia" w:ascii="宋体" w:hAnsi="宋体" w:cs="宋体"/>
          <w:color w:val="000000"/>
          <w:sz w:val="24"/>
          <w:szCs w:val="24"/>
          <w:shd w:val="clear" w:color="auto" w:fill="FFFFFF"/>
        </w:rPr>
        <w:t>（二）围绕一流课程建设</w:t>
      </w:r>
      <w:r>
        <w:rPr>
          <w:rFonts w:hint="eastAsia" w:ascii="宋体" w:hAnsi="宋体" w:cs="宋体"/>
          <w:color w:val="000000"/>
          <w:sz w:val="24"/>
          <w:szCs w:val="24"/>
          <w:shd w:val="clear" w:color="auto" w:fill="FFFFFF"/>
          <w:lang w:val="zh-CN"/>
        </w:rPr>
        <w:t>，</w:t>
      </w:r>
      <w:r>
        <w:rPr>
          <w:rFonts w:hint="eastAsia" w:ascii="宋体" w:hAnsi="宋体" w:cs="宋体"/>
          <w:color w:val="000000"/>
          <w:sz w:val="24"/>
          <w:szCs w:val="24"/>
          <w:shd w:val="clear" w:color="auto" w:fill="FFFFFF"/>
        </w:rPr>
        <w:t>全面开展一流教材建设....................3</w:t>
      </w:r>
      <w:r>
        <w:rPr>
          <w:rFonts w:hint="eastAsia" w:ascii="宋体" w:hAnsi="宋体" w:cs="宋体"/>
          <w:color w:val="000000"/>
          <w:sz w:val="24"/>
          <w:szCs w:val="24"/>
          <w:shd w:val="clear" w:color="auto" w:fill="FFFFFF"/>
          <w:lang w:val="en-US" w:eastAsia="zh-CN"/>
        </w:rPr>
        <w:t>4</w:t>
      </w:r>
      <w:r>
        <w:rPr>
          <w:rFonts w:hint="eastAsia" w:ascii="宋体" w:hAnsi="宋体" w:cs="宋体"/>
          <w:color w:val="000000"/>
          <w:sz w:val="24"/>
          <w:szCs w:val="24"/>
          <w:shd w:val="clear" w:color="auto" w:fill="FFFFFF"/>
        </w:rPr>
        <w:fldChar w:fldCharType="end"/>
      </w:r>
    </w:p>
    <w:p>
      <w:pPr>
        <w:pStyle w:val="7"/>
        <w:shd w:val="clear" w:color="auto" w:fill="FFFFFF"/>
        <w:tabs>
          <w:tab w:val="right" w:leader="dot" w:pos="8306"/>
        </w:tabs>
        <w:spacing w:line="400" w:lineRule="exact"/>
        <w:rPr>
          <w:rFonts w:ascii="宋体" w:hAnsi="宋体" w:cs="宋体"/>
          <w:color w:val="000000"/>
          <w:sz w:val="24"/>
          <w:szCs w:val="24"/>
          <w:shd w:val="clear" w:color="auto" w:fill="FFFFFF"/>
        </w:rPr>
      </w:pPr>
      <w:r>
        <w:fldChar w:fldCharType="begin"/>
      </w:r>
      <w:r>
        <w:instrText xml:space="preserve"> HYPERLINK \l "_Toc19355" </w:instrText>
      </w:r>
      <w:r>
        <w:fldChar w:fldCharType="separate"/>
      </w:r>
      <w:r>
        <w:rPr>
          <w:rFonts w:hint="eastAsia" w:ascii="宋体" w:hAnsi="宋体" w:cs="宋体"/>
          <w:color w:val="000000"/>
          <w:sz w:val="24"/>
          <w:szCs w:val="24"/>
          <w:shd w:val="clear" w:color="auto" w:fill="FFFFFF"/>
        </w:rPr>
        <w:t>（三）围绕教育教学改革，全面改革人才培养模式....................35</w:t>
      </w:r>
      <w:r>
        <w:rPr>
          <w:rFonts w:hint="eastAsia" w:ascii="宋体" w:hAnsi="宋体" w:cs="宋体"/>
          <w:color w:val="000000"/>
          <w:sz w:val="24"/>
          <w:szCs w:val="24"/>
          <w:shd w:val="clear" w:color="auto" w:fill="FFFFFF"/>
        </w:rPr>
        <w:fldChar w:fldCharType="end"/>
      </w:r>
      <w:r>
        <w:fldChar w:fldCharType="begin"/>
      </w:r>
      <w:r>
        <w:instrText xml:space="preserve"> HYPERLINK \l "_Toc19355" </w:instrText>
      </w:r>
      <w:r>
        <w:fldChar w:fldCharType="separate"/>
      </w:r>
      <w:r>
        <w:rPr>
          <w:rFonts w:hint="eastAsia" w:ascii="宋体" w:hAnsi="宋体" w:cs="宋体"/>
          <w:color w:val="000000"/>
          <w:sz w:val="24"/>
          <w:szCs w:val="24"/>
          <w:shd w:val="clear" w:color="auto" w:fill="FFFFFF"/>
        </w:rPr>
        <w:t>（四）围绕质量</w:t>
      </w:r>
      <w:r>
        <w:rPr>
          <w:rFonts w:hint="eastAsia" w:ascii="宋体" w:hAnsi="宋体" w:cs="宋体"/>
          <w:color w:val="000000"/>
          <w:sz w:val="24"/>
          <w:szCs w:val="24"/>
          <w:shd w:val="clear" w:color="auto" w:fill="FFFFFF"/>
          <w:lang w:val="zh-CN"/>
        </w:rPr>
        <w:t>保障体系，</w:t>
      </w:r>
      <w:r>
        <w:rPr>
          <w:rFonts w:hint="eastAsia" w:ascii="宋体" w:hAnsi="宋体" w:cs="宋体"/>
          <w:color w:val="000000"/>
          <w:sz w:val="24"/>
          <w:szCs w:val="24"/>
          <w:shd w:val="clear" w:color="auto" w:fill="FFFFFF"/>
        </w:rPr>
        <w:t>全面</w:t>
      </w:r>
      <w:r>
        <w:rPr>
          <w:rFonts w:hint="eastAsia" w:ascii="宋体" w:hAnsi="宋体" w:cs="宋体"/>
          <w:color w:val="000000"/>
          <w:sz w:val="24"/>
          <w:szCs w:val="24"/>
          <w:shd w:val="clear" w:color="auto" w:fill="FFFFFF"/>
          <w:lang w:val="zh-CN"/>
        </w:rPr>
        <w:t>培育一流质量文化</w:t>
      </w:r>
      <w:r>
        <w:rPr>
          <w:rFonts w:hint="eastAsia" w:ascii="宋体" w:hAnsi="宋体" w:cs="宋体"/>
          <w:color w:val="000000"/>
          <w:sz w:val="24"/>
          <w:szCs w:val="24"/>
          <w:shd w:val="clear" w:color="auto" w:fill="FFFFFF"/>
        </w:rPr>
        <w:t>....................3</w:t>
      </w:r>
      <w:r>
        <w:rPr>
          <w:rFonts w:hint="eastAsia" w:ascii="宋体" w:hAnsi="宋体" w:cs="宋体"/>
          <w:color w:val="000000"/>
          <w:sz w:val="24"/>
          <w:szCs w:val="24"/>
          <w:shd w:val="clear" w:color="auto" w:fill="FFFFFF"/>
          <w:lang w:val="en-US" w:eastAsia="zh-CN"/>
        </w:rPr>
        <w:t>5</w:t>
      </w:r>
      <w:r>
        <w:rPr>
          <w:rFonts w:hint="eastAsia" w:ascii="宋体" w:hAnsi="宋体" w:cs="宋体"/>
          <w:color w:val="000000"/>
          <w:sz w:val="24"/>
          <w:szCs w:val="24"/>
          <w:shd w:val="clear" w:color="auto" w:fill="FFFFFF"/>
        </w:rPr>
        <w:fldChar w:fldCharType="end"/>
      </w:r>
    </w:p>
    <w:p>
      <w:pPr>
        <w:shd w:val="clear" w:color="auto" w:fill="FFFFFF"/>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jc w:val="center"/>
        <w:outlineLvl w:val="0"/>
        <w:rPr>
          <w:rFonts w:hint="eastAsia" w:ascii="黑体" w:hAnsi="宋体" w:eastAsia="黑体" w:cs="黑体"/>
          <w:b/>
          <w:bCs/>
          <w:color w:val="000000"/>
          <w:sz w:val="36"/>
          <w:szCs w:val="36"/>
          <w:shd w:val="clear" w:color="auto" w:fill="FFFFFF"/>
          <w:lang w:bidi="ar"/>
        </w:rPr>
        <w:sectPr>
          <w:pgSz w:w="11906" w:h="16838"/>
          <w:pgMar w:top="1440" w:right="1800" w:bottom="1440" w:left="1800" w:header="851" w:footer="992" w:gutter="0"/>
          <w:cols w:space="425" w:num="1"/>
          <w:docGrid w:type="lines" w:linePitch="312" w:charSpace="0"/>
        </w:sectPr>
      </w:pPr>
    </w:p>
    <w:p>
      <w:pPr>
        <w:shd w:val="clear" w:color="auto" w:fill="FFFFFF"/>
        <w:jc w:val="center"/>
        <w:outlineLvl w:val="0"/>
        <w:rPr>
          <w:rFonts w:ascii="黑体" w:hAnsi="宋体" w:eastAsia="黑体" w:cs="黑体"/>
          <w:b/>
          <w:bCs/>
          <w:color w:val="000000"/>
          <w:sz w:val="36"/>
          <w:szCs w:val="36"/>
          <w:shd w:val="clear" w:color="auto" w:fill="FFFFFF"/>
        </w:rPr>
      </w:pPr>
      <w:r>
        <w:rPr>
          <w:rFonts w:hint="eastAsia" w:ascii="黑体" w:hAnsi="宋体" w:eastAsia="黑体" w:cs="黑体"/>
          <w:b/>
          <w:bCs/>
          <w:color w:val="000000"/>
          <w:sz w:val="36"/>
          <w:szCs w:val="36"/>
          <w:shd w:val="clear" w:color="auto" w:fill="FFFFFF"/>
          <w:lang w:bidi="ar"/>
        </w:rPr>
        <w:t>前    言</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铜陵学院是一所财经特色鲜明，工科发展势头强劲，多学科协调发展的应用型本科高校。其前身为铜陵财经专科学校(1978年创办)，2000年合并安徽省冶金工业学校和铜陵师范学校，2002年升格为普通本科高校。2009年学校获批安徽省首批示范应用型本科高校。2012年获批国家级大学生创新创业训练计划项目实施高校。2015年获批为安徽省地方应用型高水平大学立项建设单位。2018年5月顺利通过教育部本科教学工作审核评估。2019年9月获批安徽省硕士学位授予立项建设单位。2020年4月,“铜陵学院大学生创客空间”成为安徽省首家依托高校运营的国家级众创空间。2021年，学校获批安徽省“三全育人”综合改革试点高校，成功入选教育部中外人文交流全媒体产教融合项目合作院校。2022年，获批教育部“一站式”学生社区综合管理模式建设自主试点单位。</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坐落于长江经济带重要节点城市、皖中南中心城市、素有“中国古铜都、当代铜基地”之称的铜陵市。现有翠湖、育秀两个校区，校园占地面积1310亩，各类校舍面积489311.2平方米，教学科研仪器设备总值2.11亿元，馆藏纸质图书180.05万册，电子图书260万余册，中外文期刊1500余种。设有14个二级学院（部），67个本科专业，拥有省级应用型高峰培育学科2个（工商管理、材料科学与工程）。2023年，本科招生专业</w:t>
      </w:r>
      <w:r>
        <w:rPr>
          <w:rFonts w:hint="eastAsia" w:ascii="宋体" w:hAnsi="宋体" w:eastAsia="宋体" w:cs="宋体"/>
          <w:sz w:val="24"/>
          <w:shd w:val="clear" w:color="auto" w:fill="FFFFFF"/>
          <w:lang w:bidi="ar"/>
        </w:rPr>
        <w:t>58</w:t>
      </w:r>
      <w:r>
        <w:rPr>
          <w:rFonts w:hint="eastAsia" w:ascii="宋体" w:hAnsi="宋体" w:eastAsia="宋体" w:cs="宋体"/>
          <w:color w:val="000000"/>
          <w:sz w:val="24"/>
          <w:shd w:val="clear" w:color="auto" w:fill="FFFFFF"/>
          <w:lang w:bidi="ar"/>
        </w:rPr>
        <w:t>个，其中国家级一流本科专业建设点4个（会计学、国际经济与贸易、计算机科学与技术、广告学），国家级特色专业2个（会计学、国际经济与贸易），国家级综合改革试点专业1个（财务管理），国家级一流课程2门（会计学基础、大学生创业基础），省级一流本科人才示范引领基地3个，省级特色专业12个，省级一流本科专业建设点15个，省级综合改革试点专业13个，省级卓越人才教育培养计划28个，省级一流课程35门，省级一流教材19部等。14个专业在安徽省第一批次本科招生。编辑出版学术刊物《铜陵学院学报》。全校教职工1213人，其中专任教师903人。全日制本科在校生21368人。</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积极探索应用型高校办学之路，深入推进实践教育、创新创业教育和社会责任教育“三位一体”教学改革。学校率先提出培养应用型人才、建设应用型高校的办学理念，2008年，发起创立了“安徽省应用型本科高校联盟”（行知联盟），在全国产生积极影响，受到了时任国务委员刘延东的批示，《光明日报》等国家媒体评价“为新建院校谋求发展探索出一条新路”。坚持应用型人才培养的目标定位，深入推进“三进入三延伸”（企业进校园、企业家进课堂、科技攻关项目进学校；实验室延伸到企业、课堂延伸到生产一线、教师培养延伸到社会）应用型人才培养模式改革，深入推进校地、校企、校校合作，努力与地方政府、企事业单位建设“四个中心”（人才培养和人力资源培训中心、产学研合作中心、政府决策咨询中心、教育文化中心）“四个基地”（实习实训基地、毕业生就业基地、教学基地、研究基地）。2022年，正式挂牌成立铜业学院。建有国家级校企合作实践教育基地1个、教育部协同育人基地12个、省级校企合作实践教育基地11个、省级示范实验实训中心和省级虚拟仿真实验教学中心16个、省级产业学院与特色学院5个。建有智能财务机器人应用与创新、财务共享、审计信息、财务数据分析、风险控制、用友新道仿真企业虚拟商业社会（VBSE）、GE Fanuc运动控制、智能工业机器人、离散行业智能制造、罗克韦尔DCS集散控制、博世力士乐气液电、增材制造等实验（训）室239个。注重开展国际交流与合作，先后与美国、加拿大、俄罗斯、韩国等10余所高校建立交流与合作关系，与韩国又松大学联合开展了“2+2”合作办学。近年来，学校获省级教学成果奖53项，其中“多元浸润、学产协同、应用型高校创新创业教育体系的探索”“铜陵学院‘八百工程’建设”获安徽省教学成果特等奖。《人民日报》等媒体多次报道我校办学成果。</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紧密对接国家和区域主导产业、支柱产业和战略性新兴产业，瞄准国家、省、市重大战略需求和铜产业发展需要，扎实推进有组织科研，大力推进应用科学技术研究和协同创新。建有安徽省铜基新材料产业共性技术研究中心、铜业发展智能决策安徽省哲学社会科学重点实验室、空间信息获取与应用安徽省联合共建学科重点实验室、高端铜基新材料关键技术安徽省联合共建学科重点实验室、安徽省人文社科重点研究基地皖江经济发展研究中心、安徽省中国特色社会主义理论体系研究中心铜陵学院基地、铜文化发展研究中心、光电子应用安徽省工程技术研究中心、工程液压机器人等省级科研平台，建成“安徽经济社会发展研究中心”省级高校智库。每年出版《皖江经济发展研究报告》。学校教师主持国家级科研项目19项，获省部级科研奖励11项。</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始终坚持文化育人，大力培育和弘扬以沈浩精神为内核、以铜文化为特征的校园文化。积极践行社会主义核心价值观，秉承“明德、尚能、博学、日新”校训，打造以沈浩精神为特质的校园文化，建成了沈浩精神传承基地、“沈浩之家”学生党员发展服务中心和“沈浩精神传承网”，设立了沈浩党支部，1个学生党支部入选全国党建工作“样板支部”培育创建单位，2个二级党委和5个党支部分别入选安徽省高校党建工作“标杆院系”和“样板党支部”培育创建单位。学校连续四届被授予“安徽省文明单位”。</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是安徽省普通高校大学生创新创业教育示范校、国家级大学生创新创业训练计划项目实施高校。2021年以来，获批省级以上创新创业训练计划项目763项，其中，国家级257项。近三年，学生斩获国家级学科竞赛奖232项、省级2100余项，其中获中国国际“互联网+”大学生创新创业大赛国赛铜奖3项、省金奖5项，获“挑战杯”全国大学生课外学术科技作品竞赛二等奖1项，连续5年获中国大学生广告设计大赛全国一等奖，2017至2022年连续六届获安徽省财会技能创新大赛（本科组）一等奖第1名。学校连续举办安徽省大学生财会技能创新大赛、安徽省大学生金相技能大赛、“西门子杯”中国智能制造挑战赛安徽赛区竞赛等省级B类赛事。</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多年来，学校招生分数线连续多年稳居安徽省同类院校前列。2021年以来，毕业生平均就业率达到93%以上，荣获安徽省2022届高校毕业生就业工作成效突出单位表彰激励。麦可思报告显示，毕业生就业满意度98%以上。大学生征兵工作走在全省本科高校前列，连续两年获评全省征兵工作绩效考评“优秀”等级。</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2" w:name="_Hlk138786285"/>
      <w:bookmarkEnd w:id="2"/>
      <w:r>
        <w:rPr>
          <w:rFonts w:hint="eastAsia" w:ascii="宋体" w:hAnsi="宋体" w:eastAsia="宋体" w:cs="宋体"/>
          <w:color w:val="000000"/>
          <w:sz w:val="24"/>
          <w:shd w:val="clear" w:color="auto" w:fill="FFFFFF"/>
          <w:lang w:bidi="ar"/>
        </w:rPr>
        <w:t>砥砺奋进新征程，凝心聚力谱新篇。2022年12月，学校胜利召开第四次党代会，正高举中国特色社会主义伟大旗帜，以习近平新时代中国特色社会主义思想为指导，深入学习贯彻党的二十大精神，全面贯彻党的教育方针，深入落实立德树人根本任务，全力推进硕士学位授予立项单位建设，努力建设省内一流、国内知名的特色鲜明的地方应用型高水平大学。</w:t>
      </w:r>
    </w:p>
    <w:p>
      <w:pPr>
        <w:shd w:val="clear" w:color="auto" w:fill="FFFFFF"/>
        <w:jc w:val="center"/>
        <w:outlineLvl w:val="0"/>
        <w:rPr>
          <w:rFonts w:ascii="Times New Roman" w:hAnsi="Times New Roman" w:eastAsia="黑体" w:cs="Times New Roman"/>
          <w:b/>
          <w:bCs/>
          <w:color w:val="000000"/>
          <w:sz w:val="36"/>
          <w:szCs w:val="36"/>
          <w:shd w:val="clear" w:color="auto" w:fill="FFFFFF"/>
        </w:rPr>
      </w:pPr>
      <w:bookmarkStart w:id="3" w:name="_Toc27120"/>
      <w:bookmarkEnd w:id="3"/>
      <w:bookmarkStart w:id="4" w:name="_Toc22232"/>
      <w:bookmarkEnd w:id="4"/>
      <w:bookmarkStart w:id="5" w:name="_Toc28245"/>
      <w:r>
        <w:rPr>
          <w:rFonts w:ascii="Times New Roman" w:hAnsi="Times New Roman" w:eastAsia="黑体" w:cs="Times New Roman"/>
          <w:b/>
          <w:bCs/>
          <w:color w:val="000000"/>
          <w:sz w:val="36"/>
          <w:szCs w:val="36"/>
          <w:shd w:val="clear" w:color="auto" w:fill="FFFFFF"/>
          <w:lang w:bidi="ar"/>
        </w:rPr>
        <w:t xml:space="preserve"> </w:t>
      </w:r>
      <w:bookmarkEnd w:id="5"/>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eastAsia="黑体" w:cs="Times New Roman"/>
          <w:color w:val="000000"/>
          <w:sz w:val="28"/>
          <w:szCs w:val="28"/>
          <w:shd w:val="clear" w:color="auto" w:fill="FFFFFF"/>
        </w:rPr>
      </w:pPr>
      <w:r>
        <w:rPr>
          <w:rFonts w:hint="eastAsia" w:ascii="黑体" w:hAnsi="宋体" w:eastAsia="黑体" w:cs="黑体"/>
          <w:b/>
          <w:bCs/>
          <w:color w:val="000000"/>
          <w:sz w:val="36"/>
          <w:szCs w:val="36"/>
          <w:shd w:val="clear" w:color="auto" w:fill="FFFFFF"/>
          <w:lang w:bidi="ar"/>
        </w:rPr>
        <w:t>第一部分  本科教育基本情况</w:t>
      </w:r>
      <w:bookmarkStart w:id="6" w:name="_Toc16721"/>
      <w:bookmarkEnd w:id="6"/>
      <w:bookmarkStart w:id="7" w:name="_Toc6552"/>
      <w:bookmarkEnd w:id="7"/>
      <w:bookmarkStart w:id="8" w:name="_Toc1168"/>
      <w:bookmarkEnd w:id="8"/>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一、办学定位</w:t>
      </w:r>
      <w:r>
        <w:rPr>
          <w:rFonts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办学类型定位：应用型、地方性、开放式。</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办学层次定位：以本科教育为主，适时发展专业学位研究生教育。</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学科专业定位：财经为主、理工联动，文法艺多点支撑、协调发展。</w:t>
      </w:r>
    </w:p>
    <w:p>
      <w:pPr>
        <w:shd w:val="clear" w:color="auto" w:fill="FFFFFF"/>
        <w:spacing w:line="400" w:lineRule="exact"/>
        <w:ind w:firstLine="480" w:firstLineChars="200"/>
        <w:outlineLvl w:val="1"/>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发展目标定位：在人才培养、学科建设、科学研究、社会服务、人才队伍建设、开放办学、治理能力现代化等方面有明显的提升，进入安徽省地方应用型高水平大学行列，努力建设省内一流、国内知名的特色鲜明的地方应用型高水平大学。</w:t>
      </w:r>
      <w:bookmarkStart w:id="9" w:name="_Toc17055"/>
      <w:bookmarkEnd w:id="9"/>
      <w:bookmarkStart w:id="10" w:name="_Toc1169"/>
      <w:bookmarkEnd w:id="10"/>
      <w:bookmarkStart w:id="11" w:name="_Toc8587"/>
      <w:bookmarkEnd w:id="11"/>
    </w:p>
    <w:p>
      <w:pPr>
        <w:shd w:val="clear" w:color="auto" w:fill="FFFFFF"/>
        <w:spacing w:line="400" w:lineRule="exact"/>
        <w:ind w:firstLine="600" w:firstLineChars="200"/>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二、人才培养目标与服务面向</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坚持育人为本，德育为先，能力为重，全面发展，以社会需求为导向，积极推行实践教育、创新创业教育和大学生社会责任教育三位一体教学改革，不断提高应用型人才培养质量。人才培养目标是：“培养和造就综合素质高、理论基础实、实践能力强的创新应用型人才。”</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服务面向：立足皖江地区，面向安徽，辐射全国，服务地方经济社会发展。</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12" w:name="_Toc14536"/>
      <w:bookmarkEnd w:id="12"/>
      <w:bookmarkStart w:id="13" w:name="_Toc27101"/>
      <w:bookmarkEnd w:id="13"/>
      <w:bookmarkStart w:id="14" w:name="_Toc11605"/>
      <w:r>
        <w:rPr>
          <w:rFonts w:hint="eastAsia" w:ascii="黑体" w:hAnsi="宋体" w:eastAsia="黑体" w:cs="黑体"/>
          <w:color w:val="000000"/>
          <w:sz w:val="30"/>
          <w:szCs w:val="30"/>
          <w:shd w:val="clear" w:color="auto" w:fill="FFFFFF"/>
          <w:lang w:bidi="ar"/>
        </w:rPr>
        <w:t>三、本科专业设置情况</w:t>
      </w:r>
      <w:bookmarkEnd w:id="14"/>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现有会计学院、工商管理学院、财税与公共管理学院、金融学院、经济学院、外国语学院、文学与艺术传媒学院、法学院、数学与计算机学院、电气工程学院、机械工程学院、建筑工程学院等12个学院，另设有创新创业学院、马克思主义学院、体育教学部、继续教育学院等教学机构。现有67个本科专业，涵盖经济学、管理学、工学、文学、理学、艺术学、法学等7大学科门类。</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学校现有本科专业67个，其中工学专业22个占32.84%、理学专业4个占5.97%、文学专业5个占7.46%、经济学专业12个占17.91%、管理学专业13个占19.40%、艺术学专业8个占11.94%、法学专业3个占4.48%(见图1)。</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拥有4个国家级一流专业、2个国家级特色专业（会计学、国际经济与贸易）、1个国家级综合改革试点专业（财务管理）、12个省级特色专业、15个省级一流专业、13个省级综合改革试点专业，2门国家级一流课程（《会计学基础》《大学生创业基础》），3个一流本科人才示范引领基地等。</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lang w:bidi="ar"/>
        </w:rPr>
        <w:t xml:space="preserve"> </w:t>
      </w:r>
    </w:p>
    <w:p>
      <w:pPr>
        <w:shd w:val="clear" w:color="auto" w:fill="FFFFFF"/>
        <w:jc w:val="center"/>
        <w:rPr>
          <w:rFonts w:ascii="黑体" w:hAnsi="宋体" w:eastAsia="黑体" w:cs="黑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4838700" cy="2762250"/>
            <wp:effectExtent l="0" t="0" r="0" b="0"/>
            <wp:docPr id="4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56"/>
                    <pic:cNvPicPr>
                      <a:picLocks noChangeAspect="1"/>
                    </pic:cNvPicPr>
                  </pic:nvPicPr>
                  <pic:blipFill>
                    <a:blip r:embed="rId6"/>
                    <a:stretch>
                      <a:fillRect/>
                    </a:stretch>
                  </pic:blipFill>
                  <pic:spPr>
                    <a:xfrm>
                      <a:off x="0" y="0"/>
                      <a:ext cx="4838700" cy="2762250"/>
                    </a:xfrm>
                    <a:prstGeom prst="rect">
                      <a:avLst/>
                    </a:prstGeom>
                    <a:noFill/>
                    <a:ln w="9525">
                      <a:noFill/>
                    </a:ln>
                  </pic:spPr>
                </pic:pic>
              </a:graphicData>
            </a:graphic>
          </wp:inline>
        </w:drawing>
      </w:r>
      <w:r>
        <w:rPr>
          <w:rFonts w:hint="eastAsia" w:ascii="黑体" w:hAnsi="宋体" w:eastAsia="黑体" w:cs="黑体"/>
          <w:color w:val="000000"/>
          <w:sz w:val="24"/>
          <w:shd w:val="clear" w:color="auto" w:fill="FFFFFF"/>
          <w:lang w:bidi="ar"/>
        </w:rPr>
        <w:t xml:space="preserve"> </w:t>
      </w:r>
    </w:p>
    <w:p>
      <w:pPr>
        <w:shd w:val="clear" w:color="auto" w:fill="FFFFFF"/>
        <w:jc w:val="center"/>
        <w:outlineLvl w:val="0"/>
        <w:rPr>
          <w:rFonts w:ascii="宋体" w:hAnsi="宋体" w:eastAsia="宋体" w:cs="宋体"/>
          <w:color w:val="000000"/>
          <w:sz w:val="24"/>
          <w:shd w:val="clear" w:color="auto" w:fill="FFFFFF"/>
        </w:rPr>
      </w:pPr>
      <w:r>
        <w:rPr>
          <w:rFonts w:hint="eastAsia" w:ascii="宋体" w:hAnsi="宋体" w:eastAsia="宋体" w:cs="宋体"/>
          <w:b/>
          <w:bCs/>
          <w:color w:val="000000"/>
          <w:szCs w:val="21"/>
          <w:shd w:val="clear" w:color="auto" w:fill="FFFFFF"/>
          <w:lang w:bidi="ar"/>
        </w:rPr>
        <w:t>图1  各学科专业占比情况</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学校按照58个专业进行招生，具体专业见表1。</w:t>
      </w:r>
    </w:p>
    <w:p>
      <w:pPr>
        <w:shd w:val="clear" w:color="auto" w:fill="FFFFFF"/>
        <w:spacing w:line="400" w:lineRule="exact"/>
        <w:jc w:val="center"/>
        <w:outlineLvl w:val="0"/>
        <w:rPr>
          <w:rFonts w:ascii="宋体" w:hAnsi="宋体" w:eastAsia="宋体" w:cs="宋体"/>
          <w:b/>
          <w:bCs/>
          <w:color w:val="000000"/>
          <w:sz w:val="24"/>
          <w:shd w:val="clear" w:color="auto" w:fill="FFFFFF"/>
        </w:rPr>
      </w:pPr>
      <w:bookmarkStart w:id="15" w:name="_Toc28034"/>
      <w:bookmarkEnd w:id="15"/>
      <w:r>
        <w:rPr>
          <w:rFonts w:hint="eastAsia" w:ascii="宋体" w:hAnsi="宋体" w:eastAsia="宋体" w:cs="宋体"/>
          <w:b/>
          <w:bCs/>
          <w:color w:val="000000"/>
          <w:sz w:val="24"/>
          <w:shd w:val="clear" w:color="auto" w:fill="FFFFFF"/>
          <w:lang w:bidi="ar"/>
        </w:rPr>
        <w:t>表1</w:t>
      </w:r>
      <w:bookmarkStart w:id="16" w:name="_Toc32010"/>
      <w:bookmarkEnd w:id="16"/>
      <w:bookmarkStart w:id="17" w:name="_Toc2274"/>
      <w:bookmarkEnd w:id="17"/>
      <w:bookmarkStart w:id="18" w:name="_Toc12140"/>
      <w:r>
        <w:rPr>
          <w:rFonts w:hint="eastAsia" w:ascii="宋体" w:hAnsi="宋体" w:eastAsia="宋体" w:cs="宋体"/>
          <w:b/>
          <w:bCs/>
          <w:color w:val="000000"/>
          <w:sz w:val="24"/>
          <w:shd w:val="clear" w:color="auto" w:fill="FFFFFF"/>
          <w:lang w:bidi="ar"/>
        </w:rPr>
        <w:t xml:space="preserve"> 铜陵学院2023年普通本科分专业招生计划表</w:t>
      </w:r>
      <w:bookmarkEnd w:id="18"/>
    </w:p>
    <w:tbl>
      <w:tblPr>
        <w:tblStyle w:val="9"/>
        <w:tblW w:w="8138" w:type="dxa"/>
        <w:jc w:val="center"/>
        <w:tblLayout w:type="autofit"/>
        <w:tblCellMar>
          <w:top w:w="0" w:type="dxa"/>
          <w:left w:w="108" w:type="dxa"/>
          <w:bottom w:w="0" w:type="dxa"/>
          <w:right w:w="108" w:type="dxa"/>
        </w:tblCellMar>
      </w:tblPr>
      <w:tblGrid>
        <w:gridCol w:w="748"/>
        <w:gridCol w:w="1515"/>
        <w:gridCol w:w="2922"/>
        <w:gridCol w:w="1237"/>
        <w:gridCol w:w="796"/>
        <w:gridCol w:w="920"/>
      </w:tblGrid>
      <w:tr>
        <w:tblPrEx>
          <w:tblCellMar>
            <w:top w:w="0" w:type="dxa"/>
            <w:left w:w="108" w:type="dxa"/>
            <w:bottom w:w="0" w:type="dxa"/>
            <w:right w:w="108" w:type="dxa"/>
          </w:tblCellMar>
        </w:tblPrEx>
        <w:trPr>
          <w:trHeight w:val="521"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序号</w:t>
            </w:r>
          </w:p>
        </w:tc>
        <w:tc>
          <w:tcPr>
            <w:tcW w:w="1515"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专业代码</w:t>
            </w:r>
          </w:p>
        </w:tc>
        <w:tc>
          <w:tcPr>
            <w:tcW w:w="2922"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专业名称</w:t>
            </w:r>
          </w:p>
        </w:tc>
        <w:tc>
          <w:tcPr>
            <w:tcW w:w="1237"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学科门类</w:t>
            </w:r>
          </w:p>
        </w:tc>
        <w:tc>
          <w:tcPr>
            <w:tcW w:w="796"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学制</w:t>
            </w:r>
          </w:p>
        </w:tc>
        <w:tc>
          <w:tcPr>
            <w:tcW w:w="920"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类别</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020202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税收学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080703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通信工程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503"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080701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电子信息工程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080801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自动化</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080601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电气工程及其自动化</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080710</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集成电路设计与集成系统</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030101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法学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法学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030302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社会工作</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法学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9</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030102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知识产权</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法学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31"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10</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120206</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人力资源管理</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市场营销</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120801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电子商务</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120601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物流管理</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120703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质量管理工程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120204</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财务管理</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120207</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审计学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120208</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资产评估</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86"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120203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会计学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19</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080405</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金属材料工程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20</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080203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材料成型及控制工程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080204</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机械电子工程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080202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机械设计制造及其自动化</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080803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机器人工程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080217</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增材制造工程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120105</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工程造价</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86"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120103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工程管理</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管理学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082801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建筑学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五年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081001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土木工程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96"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29</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070504</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地理信息科学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30</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081202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遥感科学与技术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512"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金融学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506"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保险学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9"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020304</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投资学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511"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020309</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互联网金融</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金融工程</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52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020101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020105</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商务经济学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020102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经济统计学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39</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020401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国际经济与贸易</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40</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020109</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数字经济</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020305</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金融数学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经济学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080901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计算机科学与技术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080906</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数字媒体技术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070101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数学与应用数学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080910</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数据科学与大数据技术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071202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应用统计学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080717</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人工智能</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工学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050262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商务英语</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49</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050201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英语</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50</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130212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音乐教育</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r>
        <w:tblPrEx>
          <w:tblCellMar>
            <w:top w:w="0" w:type="dxa"/>
            <w:left w:w="108" w:type="dxa"/>
            <w:bottom w:w="0" w:type="dxa"/>
            <w:right w:w="108" w:type="dxa"/>
          </w:tblCellMar>
        </w:tblPrEx>
        <w:trPr>
          <w:trHeight w:val="424"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51</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130508</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数字媒体艺术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52</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130401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美术学(绘画）</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53</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050306</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网络与新媒体</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54</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050101</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汉语言文学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55</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050303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广告学</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文理</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56</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130502</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视觉传达设计</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57</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130503</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环境设计</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r>
        <w:tblPrEx>
          <w:tblCellMar>
            <w:top w:w="0" w:type="dxa"/>
            <w:left w:w="108" w:type="dxa"/>
            <w:bottom w:w="0" w:type="dxa"/>
            <w:right w:w="108" w:type="dxa"/>
          </w:tblCellMar>
        </w:tblPrEx>
        <w:trPr>
          <w:trHeight w:val="517" w:hRule="atLeast"/>
          <w:jc w:val="center"/>
        </w:trPr>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58</w:t>
            </w:r>
          </w:p>
        </w:tc>
        <w:tc>
          <w:tcPr>
            <w:tcW w:w="1515"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130506</w:t>
            </w:r>
          </w:p>
        </w:tc>
        <w:tc>
          <w:tcPr>
            <w:tcW w:w="2922"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公共艺术</w:t>
            </w:r>
          </w:p>
        </w:tc>
        <w:tc>
          <w:tcPr>
            <w:tcW w:w="1237"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艺术学</w:t>
            </w:r>
          </w:p>
        </w:tc>
        <w:tc>
          <w:tcPr>
            <w:tcW w:w="796"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四年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widowControl/>
              <w:spacing w:line="400" w:lineRule="exact"/>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lang w:bidi="ar"/>
              </w:rPr>
              <w:t>艺</w:t>
            </w:r>
          </w:p>
        </w:tc>
      </w:tr>
    </w:tbl>
    <w:p>
      <w:pPr>
        <w:shd w:val="clear" w:color="auto" w:fill="FFFFFF"/>
        <w:spacing w:line="400" w:lineRule="exact"/>
        <w:outlineLvl w:val="1"/>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 xml:space="preserve"> </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四、全日制在校生情况及本科生所占比例</w:t>
      </w:r>
      <w:r>
        <w:rPr>
          <w:rFonts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2021年，学校招生普通全日制学生6050人，均为本科生，其中专升本学生1020人，对口高考学生300人；</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2022年，学校招生普通全日制学生6819人，均为本科生，其中专升本学生 1387人，对口高考学生298人；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2023年，学校招生普通全日制学生4927人，均为本科生，其中专升本学生 803人，对口高考学生199人；</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sz w:val="24"/>
          <w:shd w:val="clear" w:color="auto" w:fill="FFFFFF"/>
          <w:lang w:bidi="ar"/>
        </w:rPr>
        <w:t>2</w:t>
      </w:r>
      <w:r>
        <w:rPr>
          <w:rFonts w:hint="eastAsia" w:ascii="宋体" w:hAnsi="宋体" w:eastAsia="宋体" w:cs="宋体"/>
          <w:color w:val="000000"/>
          <w:sz w:val="24"/>
          <w:shd w:val="clear" w:color="auto" w:fill="FFFFFF"/>
          <w:lang w:bidi="ar"/>
        </w:rPr>
        <w:t>022-2023学年本科在校生22292人（含一年级6736人，二年级5897人，三年级4818人，四年级4768人，其他73人）</w:t>
      </w:r>
      <w:bookmarkStart w:id="19" w:name="_Toc19592"/>
      <w:bookmarkEnd w:id="19"/>
      <w:bookmarkStart w:id="20" w:name="_Toc30767"/>
      <w:bookmarkEnd w:id="20"/>
      <w:bookmarkStart w:id="21" w:name="_Toc28619"/>
      <w:r>
        <w:rPr>
          <w:rFonts w:hint="eastAsia" w:ascii="宋体" w:hAnsi="宋体" w:eastAsia="宋体" w:cs="宋体"/>
          <w:color w:val="000000"/>
          <w:sz w:val="24"/>
          <w:shd w:val="clear" w:color="auto" w:fill="FFFFFF"/>
          <w:lang w:bidi="ar"/>
        </w:rPr>
        <w:t>。</w:t>
      </w:r>
      <w:bookmarkEnd w:id="21"/>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目前学校全日制在校生总规模为21368人，本科生数占全日制在校生总数的比例为100.00%。</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五、本科生源质量情况</w:t>
      </w:r>
      <w:r>
        <w:rPr>
          <w:rFonts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2023年，学校计划招生4970人，实际录取考生4927人，实际报到4876人。实际录取率为99.11%，实际报到率为98.98%。特殊类型招生255人，招收本省学生4756人。学校面向全国10个省招生，其中理科招生省份5个，文科招生省份5个。</w:t>
      </w:r>
    </w:p>
    <w:p>
      <w:pPr>
        <w:shd w:val="clear" w:color="auto" w:fill="FFFFFF"/>
        <w:spacing w:line="400" w:lineRule="exact"/>
        <w:ind w:firstLine="480" w:firstLineChars="200"/>
        <w:outlineLvl w:val="0"/>
        <w:rPr>
          <w:rFonts w:ascii="宋体" w:hAnsi="宋体" w:eastAsia="宋体" w:cs="宋体"/>
          <w:b/>
          <w:bCs/>
          <w:color w:val="000000"/>
          <w:szCs w:val="21"/>
          <w:shd w:val="clear" w:color="auto" w:fill="FFFFFF"/>
        </w:rPr>
      </w:pPr>
      <w:r>
        <w:rPr>
          <w:rFonts w:hint="eastAsia" w:ascii="宋体" w:hAnsi="宋体" w:eastAsia="宋体" w:cs="宋体"/>
          <w:color w:val="000000"/>
          <w:sz w:val="24"/>
          <w:shd w:val="clear" w:color="auto" w:fill="FFFFFF"/>
          <w:lang w:bidi="ar"/>
        </w:rPr>
        <w:t>随着我校办学水平、办学质量的不断提高，2023年我校共有14个专业进入安徽省本科一批次招生，一本考生填报共计1234人，较去年增加396%，填报率再创新高。文科一批次最低投档分495分，全省排名25413名；理科一批次最低投档分482分，全省排名101655名。文科二批次最低投档分486分，超出省控线46分，全省排名29311名；理科二批次最低投档分数为460分，全省排名125654名，超出省控线33分。共有10个专业第一志愿填报率超过200%，其中，汉语言文学(师范)专业高达733%、汉语言文学专业高达680%、数据科学与大数据技术专业高达535%，2023年招生录取依然保持了量增质提的喜人局面</w:t>
      </w:r>
      <w:bookmarkStart w:id="22" w:name="_Toc7873"/>
      <w:bookmarkEnd w:id="22"/>
      <w:bookmarkStart w:id="23" w:name="_Toc24012"/>
      <w:bookmarkEnd w:id="23"/>
      <w:bookmarkStart w:id="24" w:name="_Toc31534"/>
      <w:bookmarkEnd w:id="24"/>
      <w:r>
        <w:rPr>
          <w:rFonts w:hint="eastAsia" w:ascii="宋体" w:hAnsi="宋体" w:eastAsia="宋体" w:cs="宋体"/>
          <w:color w:val="000000"/>
          <w:sz w:val="24"/>
          <w:shd w:val="clear" w:color="auto" w:fill="FFFFFF"/>
          <w:lang w:bidi="ar"/>
        </w:rPr>
        <w:t>，具体情况见表2。</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表2  2023年生源情况</w:t>
      </w:r>
    </w:p>
    <w:tbl>
      <w:tblPr>
        <w:tblStyle w:val="9"/>
        <w:tblW w:w="51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5"/>
        <w:gridCol w:w="1714"/>
        <w:gridCol w:w="834"/>
        <w:gridCol w:w="895"/>
        <w:gridCol w:w="1341"/>
        <w:gridCol w:w="1506"/>
        <w:gridCol w:w="1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省份</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批次</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szCs w:val="21"/>
              </w:rPr>
            </w:pPr>
            <w:r>
              <w:rPr>
                <w:rFonts w:hint="eastAsia" w:ascii="宋体" w:hAnsi="宋体" w:eastAsia="宋体" w:cs="宋体"/>
                <w:b/>
                <w:color w:val="000000"/>
                <w:szCs w:val="21"/>
                <w:lang w:bidi="ar"/>
              </w:rPr>
              <w:t>招生类型</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szCs w:val="21"/>
              </w:rPr>
            </w:pPr>
            <w:r>
              <w:rPr>
                <w:rFonts w:hint="eastAsia" w:ascii="宋体" w:hAnsi="宋体" w:eastAsia="宋体" w:cs="宋体"/>
                <w:b/>
                <w:color w:val="000000"/>
                <w:szCs w:val="21"/>
                <w:lang w:bidi="ar"/>
              </w:rPr>
              <w:t>录取数（人）</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szCs w:val="21"/>
              </w:rPr>
            </w:pPr>
            <w:r>
              <w:rPr>
                <w:rFonts w:hint="eastAsia" w:ascii="宋体" w:hAnsi="宋体" w:eastAsia="宋体" w:cs="宋体"/>
                <w:b/>
                <w:color w:val="000000"/>
                <w:szCs w:val="21"/>
                <w:lang w:bidi="ar"/>
              </w:rPr>
              <w:t>批次最低控制线（分）</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szCs w:val="21"/>
              </w:rPr>
            </w:pPr>
            <w:r>
              <w:rPr>
                <w:rFonts w:hint="eastAsia" w:ascii="宋体" w:hAnsi="宋体" w:eastAsia="宋体" w:cs="宋体"/>
                <w:b/>
                <w:color w:val="000000"/>
                <w:szCs w:val="21"/>
                <w:lang w:bidi="ar"/>
              </w:rPr>
              <w:t>当年录取平均分数（分）</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szCs w:val="21"/>
              </w:rPr>
            </w:pPr>
            <w:r>
              <w:rPr>
                <w:rFonts w:hint="eastAsia" w:ascii="宋体" w:hAnsi="宋体" w:eastAsia="宋体" w:cs="宋体"/>
                <w:b/>
                <w:color w:val="000000"/>
                <w:szCs w:val="21"/>
                <w:lang w:bidi="ar"/>
              </w:rPr>
              <w:t>平均分与控制线差值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安徽省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第一批次招生</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615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489.0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497.91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安徽省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第一批次招生</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474.0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485.31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安徽省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486.0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491.47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安徽省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1576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460.0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468.44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河南省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527.0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532.17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河南省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485.0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489.95</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广东省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496.0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499.0</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吉林省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438.0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441.31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吉林省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398.0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408.67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福建省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历史</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492.0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495.8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福建省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495.0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499.4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广西壮族自治区</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432.0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437.23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湖北省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480.0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492.9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江苏省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历史</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523.0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524.2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江苏省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500.0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504.0</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四川省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516.0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519.71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四川省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理科</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484.0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488.49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山东省</w:t>
            </w: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第二批次招生</w:t>
            </w:r>
            <w:r>
              <w:rPr>
                <w:rFonts w:ascii="Times New Roman" w:hAnsi="Times New Roman" w:cs="Times New Roman"/>
                <w:color w:val="000000"/>
                <w:szCs w:val="21"/>
                <w:lang w:bidi="ar"/>
              </w:rPr>
              <w:t>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不分文理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497.0</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506.8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r>
    </w:tbl>
    <w:p>
      <w:pPr>
        <w:shd w:val="clear" w:color="auto" w:fill="FFFFFF"/>
        <w:jc w:val="center"/>
        <w:outlineLvl w:val="0"/>
        <w:rPr>
          <w:rFonts w:ascii="Times New Roman" w:hAnsi="Times New Roman" w:eastAsia="黑体" w:cs="Times New Roman"/>
          <w:b/>
          <w:bCs/>
          <w:color w:val="000000"/>
          <w:sz w:val="36"/>
          <w:szCs w:val="36"/>
          <w:shd w:val="clear" w:color="auto" w:fill="FFFFFF"/>
        </w:rPr>
      </w:pPr>
      <w:r>
        <w:rPr>
          <w:rFonts w:ascii="Times New Roman" w:hAnsi="Times New Roman" w:eastAsia="黑体" w:cs="Times New Roman"/>
          <w:b/>
          <w:bCs/>
          <w:color w:val="000000"/>
          <w:sz w:val="36"/>
          <w:szCs w:val="36"/>
          <w:shd w:val="clear" w:color="auto" w:fill="FFFFFF"/>
          <w:lang w:bidi="ar"/>
        </w:rPr>
        <w:t xml:space="preserve"> </w:t>
      </w:r>
    </w:p>
    <w:p>
      <w:pPr>
        <w:shd w:val="clear" w:color="auto" w:fill="FFFFFF"/>
        <w:jc w:val="center"/>
        <w:outlineLvl w:val="0"/>
        <w:rPr>
          <w:rFonts w:ascii="Times New Roman" w:hAnsi="Times New Roman" w:cs="Times New Roman"/>
          <w:b/>
          <w:bCs/>
          <w:color w:val="000000"/>
          <w:sz w:val="36"/>
          <w:szCs w:val="36"/>
          <w:shd w:val="clear" w:color="auto" w:fill="FFFFFF"/>
        </w:rPr>
      </w:pPr>
      <w:r>
        <w:rPr>
          <w:rFonts w:hint="eastAsia" w:ascii="黑体" w:hAnsi="宋体" w:eastAsia="黑体" w:cs="黑体"/>
          <w:b/>
          <w:bCs/>
          <w:color w:val="000000"/>
          <w:sz w:val="36"/>
          <w:szCs w:val="36"/>
          <w:shd w:val="clear" w:color="auto" w:fill="FFFFFF"/>
          <w:lang w:bidi="ar"/>
        </w:rPr>
        <w:t>第二部分  师资与教学条件</w:t>
      </w:r>
    </w:p>
    <w:p>
      <w:pPr>
        <w:shd w:val="clear" w:color="auto" w:fill="FFFFFF"/>
        <w:spacing w:line="400" w:lineRule="exact"/>
        <w:ind w:firstLine="480" w:firstLineChars="200"/>
        <w:rPr>
          <w:rFonts w:ascii="Times New Roman" w:hAnsi="Times New Roman" w:cs="Times New Roman"/>
          <w:color w:val="000000"/>
          <w:sz w:val="24"/>
          <w:shd w:val="clear" w:color="auto" w:fill="FFFFFF"/>
        </w:rPr>
      </w:pPr>
      <w:r>
        <w:rPr>
          <w:rFonts w:hint="eastAsia" w:ascii="宋体" w:hAnsi="宋体" w:eastAsia="宋体" w:cs="宋体"/>
          <w:color w:val="000000"/>
          <w:sz w:val="24"/>
          <w:shd w:val="clear" w:color="auto" w:fill="FFFFFF"/>
          <w:lang w:bidi="ar"/>
        </w:rPr>
        <w:t>学校高度重视师资队伍建设，持续加大经费投入，加强实验室、实习实训基地建设和图书资料建设，充分发挥校园网在教学中的积极作用，办学条件不断改善，师资队伍、教学仪器设备、实践教学基地、图书资料等教学资源对教学水平的保障度不断提高。</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25" w:name="_Toc12232"/>
      <w:bookmarkEnd w:id="25"/>
      <w:bookmarkStart w:id="26" w:name="_Toc27781"/>
      <w:bookmarkEnd w:id="26"/>
      <w:bookmarkStart w:id="27" w:name="_Toc26621"/>
      <w:r>
        <w:rPr>
          <w:rFonts w:hint="eastAsia" w:ascii="黑体" w:hAnsi="宋体" w:eastAsia="黑体" w:cs="黑体"/>
          <w:color w:val="000000"/>
          <w:sz w:val="30"/>
          <w:szCs w:val="30"/>
          <w:shd w:val="clear" w:color="auto" w:fill="FFFFFF"/>
          <w:lang w:bidi="ar"/>
        </w:rPr>
        <w:t>一、师资队伍</w:t>
      </w:r>
      <w:bookmarkEnd w:id="27"/>
    </w:p>
    <w:p>
      <w:pPr>
        <w:shd w:val="clear" w:color="auto" w:fill="FFFFFF"/>
        <w:spacing w:line="400" w:lineRule="exact"/>
        <w:jc w:val="left"/>
        <w:rPr>
          <w:rFonts w:ascii="Times New Roman" w:hAnsi="Times New Roman" w:cs="Times New Roman"/>
          <w:color w:val="000000"/>
          <w:sz w:val="28"/>
          <w:szCs w:val="28"/>
          <w:shd w:val="clear" w:color="auto" w:fill="FFFFFF"/>
        </w:rPr>
      </w:pPr>
      <w:bookmarkStart w:id="28" w:name="_Toc10670"/>
      <w:bookmarkEnd w:id="28"/>
      <w:bookmarkStart w:id="29" w:name="_Toc2093"/>
      <w:bookmarkEnd w:id="29"/>
      <w:bookmarkStart w:id="30" w:name="_Toc27123"/>
      <w:r>
        <w:rPr>
          <w:rFonts w:hint="eastAsia" w:ascii="黑体" w:hAnsi="宋体" w:eastAsia="黑体" w:cs="黑体"/>
          <w:color w:val="000000"/>
          <w:sz w:val="28"/>
          <w:szCs w:val="28"/>
          <w:shd w:val="clear" w:color="auto" w:fill="FFFFFF"/>
          <w:lang w:bidi="ar"/>
        </w:rPr>
        <w:t>（一）生师比</w:t>
      </w:r>
      <w:bookmarkEnd w:id="30"/>
    </w:p>
    <w:p>
      <w:pPr>
        <w:shd w:val="clear" w:color="auto" w:fill="FFFFFF"/>
        <w:spacing w:line="400" w:lineRule="exact"/>
        <w:ind w:firstLine="480" w:firstLineChars="200"/>
        <w:rPr>
          <w:rFonts w:ascii="宋体" w:hAnsi="宋体" w:eastAsia="宋体" w:cs="宋体"/>
          <w:color w:val="000000"/>
          <w:sz w:val="24"/>
          <w:shd w:val="clear" w:color="auto" w:fill="FFFFFF"/>
        </w:rPr>
      </w:pPr>
      <w:bookmarkStart w:id="31" w:name="_Hlk87166156"/>
      <w:bookmarkEnd w:id="31"/>
      <w:r>
        <w:rPr>
          <w:rFonts w:hint="eastAsia" w:ascii="宋体" w:hAnsi="宋体" w:eastAsia="宋体" w:cs="宋体"/>
          <w:color w:val="000000"/>
          <w:sz w:val="24"/>
          <w:shd w:val="clear" w:color="auto" w:fill="FFFFFF"/>
          <w:lang w:bidi="ar"/>
        </w:rPr>
        <w:t>学校现有专任教师903人、外聘教师268人，折合教师总数为1037人，外聘教师与专任教师人数之比为0.30:1。按折合学生数21454.5计算，生师比为20.69。教师数量基本满足教学需要，近两学年教师总数详见表3。</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表3  近两学年教师总数</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0"/>
        <w:gridCol w:w="1737"/>
        <w:gridCol w:w="1682"/>
        <w:gridCol w:w="2043"/>
        <w:gridCol w:w="1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专任教师数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外聘教师数</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折合教师总数</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生师比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本学年</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903</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268</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1037.0</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上学年</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932</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235</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1049.5</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21.33</w:t>
            </w:r>
          </w:p>
        </w:tc>
      </w:tr>
    </w:tbl>
    <w:p>
      <w:pPr>
        <w:shd w:val="clear" w:color="auto" w:fill="FFFFFF"/>
        <w:spacing w:line="400" w:lineRule="exact"/>
        <w:jc w:val="left"/>
        <w:rPr>
          <w:rFonts w:ascii="黑体" w:hAnsi="宋体" w:eastAsia="黑体" w:cs="黑体"/>
          <w:color w:val="000000"/>
          <w:sz w:val="28"/>
          <w:szCs w:val="28"/>
          <w:shd w:val="clear" w:color="auto" w:fill="FFFFFF"/>
        </w:rPr>
      </w:pPr>
      <w:bookmarkStart w:id="32" w:name="_Toc21714"/>
      <w:bookmarkEnd w:id="32"/>
      <w:bookmarkStart w:id="33" w:name="_Toc14623"/>
      <w:bookmarkEnd w:id="33"/>
      <w:bookmarkStart w:id="34" w:name="_Toc5707"/>
      <w:r>
        <w:rPr>
          <w:rFonts w:hint="eastAsia" w:ascii="黑体" w:hAnsi="宋体" w:eastAsia="黑体" w:cs="黑体"/>
          <w:color w:val="000000"/>
          <w:sz w:val="28"/>
          <w:szCs w:val="28"/>
          <w:shd w:val="clear" w:color="auto" w:fill="FFFFFF"/>
          <w:lang w:bidi="ar"/>
        </w:rPr>
        <w:t>（</w:t>
      </w:r>
      <w:bookmarkEnd w:id="34"/>
      <w:r>
        <w:rPr>
          <w:rFonts w:hint="eastAsia" w:ascii="黑体" w:hAnsi="宋体" w:eastAsia="黑体" w:cs="黑体"/>
          <w:color w:val="000000"/>
          <w:sz w:val="28"/>
          <w:szCs w:val="28"/>
          <w:shd w:val="clear" w:color="auto" w:fill="FFFFFF"/>
          <w:lang w:bidi="ar"/>
        </w:rPr>
        <w:t>二）职称结构</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35" w:name="_Toc32523"/>
      <w:bookmarkEnd w:id="35"/>
      <w:bookmarkStart w:id="36" w:name="_Toc18219"/>
      <w:bookmarkEnd w:id="36"/>
      <w:bookmarkStart w:id="37" w:name="_Toc1042"/>
      <w:r>
        <w:rPr>
          <w:rFonts w:hint="eastAsia" w:ascii="宋体" w:hAnsi="宋体" w:eastAsia="宋体" w:cs="宋体"/>
          <w:color w:val="000000"/>
          <w:sz w:val="24"/>
          <w:shd w:val="clear" w:color="auto" w:fill="FFFFFF"/>
          <w:lang w:bidi="ar"/>
        </w:rPr>
        <w:t>2022-2023学年专任教师中，“双师型”教师321人，占专任教师的比例为35.55%，具有高级职称的专任教师335人，占专任教师的比例为37.10%。</w:t>
      </w:r>
      <w:bookmarkEnd w:id="37"/>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（三）学位结构</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研究生学位（硕士和博士）的专任教师810人，占专任教师的比例为89.70%。</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（四）年龄结构</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2021-2022学年专任教师中35周岁以下的青年教师358人，占专任教师39.65 %，36-45周岁教师281人，占专任教师31.12%，45周岁以上教师207人，占专任教师22.92%。中青年教师在骨干教师队伍中的比重较高，年轻化特征明显，已成为师资队伍的主力军。</w:t>
      </w:r>
    </w:p>
    <w:p>
      <w:pPr>
        <w:shd w:val="clear" w:color="auto" w:fill="FFFFFF"/>
        <w:jc w:val="center"/>
        <w:rPr>
          <w:rFonts w:ascii="宋体" w:hAnsi="宋体" w:eastAsia="宋体" w:cs="宋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3543300" cy="2743200"/>
            <wp:effectExtent l="0" t="0" r="0" b="0"/>
            <wp:docPr id="42" name="图片 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57"/>
                    <pic:cNvPicPr>
                      <a:picLocks noChangeAspect="1"/>
                    </pic:cNvPicPr>
                  </pic:nvPicPr>
                  <pic:blipFill>
                    <a:blip r:embed="rId7"/>
                    <a:stretch>
                      <a:fillRect/>
                    </a:stretch>
                  </pic:blipFill>
                  <pic:spPr>
                    <a:xfrm>
                      <a:off x="0" y="0"/>
                      <a:ext cx="3543300" cy="2743200"/>
                    </a:xfrm>
                    <a:prstGeom prst="rect">
                      <a:avLst/>
                    </a:prstGeom>
                    <a:noFill/>
                    <a:ln w="9525">
                      <a:noFill/>
                    </a:ln>
                  </pic:spPr>
                </pic:pic>
              </a:graphicData>
            </a:graphic>
          </wp:inline>
        </w:drawing>
      </w:r>
      <w:r>
        <w:rPr>
          <w:rFonts w:hint="eastAsia" w:ascii="宋体" w:hAnsi="宋体" w:eastAsia="宋体" w:cs="宋体"/>
          <w:color w:val="000000"/>
          <w:sz w:val="24"/>
          <w:shd w:val="clear" w:color="auto" w:fill="FFFFFF"/>
          <w:lang w:bidi="ar"/>
        </w:rPr>
        <w:t xml:space="preserve"> </w:t>
      </w:r>
    </w:p>
    <w:p>
      <w:pPr>
        <w:shd w:val="clear" w:color="auto" w:fill="FFFFFF"/>
        <w:jc w:val="center"/>
        <w:outlineLvl w:val="0"/>
        <w:rPr>
          <w:rFonts w:ascii="Times New Roman" w:hAnsi="Times New Roman" w:eastAsia="黑体" w:cs="Times New Roman"/>
          <w:color w:val="000000"/>
          <w:sz w:val="30"/>
          <w:szCs w:val="30"/>
          <w:shd w:val="clear" w:color="auto" w:fill="FFFFFF"/>
        </w:rPr>
      </w:pPr>
      <w:r>
        <w:rPr>
          <w:rFonts w:hint="eastAsia" w:ascii="宋体" w:hAnsi="宋体" w:eastAsia="宋体" w:cs="宋体"/>
          <w:b/>
          <w:bCs/>
          <w:color w:val="000000"/>
          <w:szCs w:val="21"/>
          <w:shd w:val="clear" w:color="auto" w:fill="FFFFFF"/>
          <w:lang w:bidi="ar"/>
        </w:rPr>
        <w:t>图2  教师年龄结构</w:t>
      </w:r>
      <w:bookmarkStart w:id="38" w:name="_Toc13055"/>
      <w:bookmarkEnd w:id="38"/>
      <w:bookmarkStart w:id="39" w:name="_Toc5223"/>
      <w:bookmarkEnd w:id="39"/>
      <w:bookmarkStart w:id="40" w:name="_Toc7204"/>
      <w:bookmarkEnd w:id="40"/>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二、本科主讲教师情况</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41" w:name="_Toc910"/>
      <w:bookmarkEnd w:id="41"/>
      <w:r>
        <w:rPr>
          <w:rFonts w:hint="eastAsia" w:ascii="宋体" w:hAnsi="宋体" w:eastAsia="宋体" w:cs="宋体"/>
          <w:color w:val="000000"/>
          <w:sz w:val="24"/>
          <w:shd w:val="clear" w:color="auto" w:fill="FFFFFF"/>
          <w:lang w:bidi="ar"/>
        </w:rPr>
        <w:t>本学年高级职称教师承担的课程门数为812，占总课程门数的40.95%；课程门次数为2452，占开课总门次的36.62%。</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正高级职称教师承担的课程门数为245，占总课程门数的12.36%；课程门次数为491，占开课总门次的7.33%。其中教授职称教师承担的课程门数为241，占总课程门数的12.15%；课程门次数为483，占开课总门次的7.21%。</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副高级职称教师承担的课程门数为647，占总课程门数的32.63%；课程门次数为1980，占开课总门次的29.57%。其中副教授职称教师承担的课程门数为624，占总课程门数的31.47%；课程门次数为1901，占开课总门次的28.39%，具体情况见图3。</w:t>
      </w:r>
    </w:p>
    <w:p>
      <w:pPr>
        <w:shd w:val="clear" w:color="auto" w:fill="FFFFFF"/>
        <w:jc w:val="center"/>
        <w:rPr>
          <w:rFonts w:ascii="宋体" w:hAnsi="宋体" w:eastAsia="宋体" w:cs="宋体"/>
          <w:b/>
          <w:bCs/>
          <w:color w:val="000000"/>
          <w:szCs w:val="21"/>
          <w:shd w:val="clear" w:color="auto" w:fill="FFFFFF"/>
        </w:rPr>
      </w:pPr>
      <w:r>
        <w:rPr>
          <w:rFonts w:ascii="Times New Roman" w:hAnsi="Times New Roman" w:cs="Times New Roman"/>
          <w:szCs w:val="21"/>
          <w:shd w:val="clear" w:color="auto" w:fill="FFFFFF"/>
          <w:lang w:bidi="ar"/>
        </w:rPr>
        <w:drawing>
          <wp:inline distT="0" distB="0" distL="114300" distR="114300">
            <wp:extent cx="5143500" cy="2705100"/>
            <wp:effectExtent l="0" t="0" r="0" b="0"/>
            <wp:docPr id="45" name="图片 3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58"/>
                    <pic:cNvPicPr>
                      <a:picLocks noChangeAspect="1"/>
                    </pic:cNvPicPr>
                  </pic:nvPicPr>
                  <pic:blipFill>
                    <a:blip r:embed="rId8"/>
                    <a:stretch>
                      <a:fillRect/>
                    </a:stretch>
                  </pic:blipFill>
                  <pic:spPr>
                    <a:xfrm>
                      <a:off x="0" y="0"/>
                      <a:ext cx="5143500" cy="2705100"/>
                    </a:xfrm>
                    <a:prstGeom prst="rect">
                      <a:avLst/>
                    </a:prstGeom>
                    <a:noFill/>
                    <a:ln w="9525">
                      <a:noFill/>
                    </a:ln>
                  </pic:spPr>
                </pic:pic>
              </a:graphicData>
            </a:graphic>
          </wp:inline>
        </w:drawing>
      </w:r>
      <w:r>
        <w:rPr>
          <w:rFonts w:hint="eastAsia" w:ascii="宋体" w:hAnsi="宋体" w:eastAsia="宋体" w:cs="宋体"/>
          <w:b/>
          <w:bCs/>
          <w:color w:val="000000"/>
          <w:szCs w:val="21"/>
          <w:shd w:val="clear" w:color="auto" w:fill="FFFFFF"/>
          <w:lang w:bidi="ar"/>
        </w:rPr>
        <w:t>图3  各职称类别教师承担课程门数占比（%）</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三、教授承担本科课程情况</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42" w:name="_Toc24955"/>
      <w:bookmarkEnd w:id="42"/>
      <w:r>
        <w:rPr>
          <w:rFonts w:hint="eastAsia" w:ascii="宋体" w:hAnsi="宋体" w:eastAsia="宋体" w:cs="宋体"/>
          <w:color w:val="000000"/>
          <w:sz w:val="24"/>
          <w:shd w:val="clear" w:color="auto" w:fill="FFFFFF"/>
          <w:lang w:bidi="ar"/>
        </w:rPr>
        <w:t>学校有国家级、省级教学名师20人，本学年主讲本科课程的国家级、省级教学名师18人，占比为90.00%。</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本学年主讲本科专业核心课程的教授37人，占授课教授总人数比例的39.78%。高级职称教师承担的本科专业核心课程253门，占所开设本科专业核心课程的比例为42.81%。</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承担本科教学的具有教授职称的教师有82人，以我校具有教授职称教师87人计，主讲本科课程的教授比例为94.25%，具体情况见图4。</w:t>
      </w:r>
    </w:p>
    <w:p>
      <w:pPr>
        <w:shd w:val="clear" w:color="auto" w:fill="FFFFFF"/>
        <w:jc w:val="left"/>
        <w:rPr>
          <w:rFonts w:ascii="Times New Roman" w:hAnsi="Times New Roman" w:cs="Times New Roman"/>
          <w:color w:val="000000"/>
          <w:szCs w:val="21"/>
          <w:shd w:val="clear" w:color="auto" w:fill="FFFFFF"/>
        </w:rPr>
      </w:pPr>
      <w:r>
        <w:rPr>
          <w:rFonts w:ascii="Times New Roman" w:hAnsi="Times New Roman" w:cs="Times New Roman"/>
          <w:szCs w:val="21"/>
          <w:shd w:val="clear" w:color="auto" w:fill="FFFFFF"/>
          <w:lang w:bidi="ar"/>
        </w:rPr>
        <w:drawing>
          <wp:inline distT="0" distB="0" distL="114300" distR="114300">
            <wp:extent cx="5143500" cy="2514600"/>
            <wp:effectExtent l="0" t="0" r="0" b="0"/>
            <wp:docPr id="41" name="图片 3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IMG_259"/>
                    <pic:cNvPicPr>
                      <a:picLocks noChangeAspect="1"/>
                    </pic:cNvPicPr>
                  </pic:nvPicPr>
                  <pic:blipFill>
                    <a:blip r:embed="rId9"/>
                    <a:stretch>
                      <a:fillRect/>
                    </a:stretch>
                  </pic:blipFill>
                  <pic:spPr>
                    <a:xfrm>
                      <a:off x="0" y="0"/>
                      <a:ext cx="5143500" cy="2514600"/>
                    </a:xfrm>
                    <a:prstGeom prst="rect">
                      <a:avLst/>
                    </a:prstGeom>
                    <a:noFill/>
                    <a:ln w="9525">
                      <a:noFill/>
                    </a:ln>
                  </pic:spPr>
                </pic:pic>
              </a:graphicData>
            </a:graphic>
          </wp:inline>
        </w:drawing>
      </w:r>
      <w:r>
        <w:rPr>
          <w:rFonts w:ascii="Times New Roman" w:hAnsi="Times New Roman" w:cs="Times New Roman"/>
          <w:color w:val="000000"/>
          <w:szCs w:val="21"/>
          <w:shd w:val="clear" w:color="auto" w:fill="FFFFFF"/>
          <w:lang w:bidi="ar"/>
        </w:rPr>
        <w:t xml:space="preserve"> </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图4  近两学年教授为本科生上课情况（%）</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43" w:name="_Toc13905"/>
      <w:bookmarkEnd w:id="43"/>
      <w:bookmarkStart w:id="44" w:name="_Toc10313"/>
      <w:bookmarkEnd w:id="44"/>
      <w:bookmarkStart w:id="45" w:name="_Toc5447"/>
      <w:r>
        <w:rPr>
          <w:rFonts w:hint="eastAsia" w:ascii="黑体" w:hAnsi="宋体" w:eastAsia="黑体" w:cs="黑体"/>
          <w:color w:val="000000"/>
          <w:sz w:val="30"/>
          <w:szCs w:val="30"/>
          <w:shd w:val="clear" w:color="auto" w:fill="FFFFFF"/>
          <w:lang w:bidi="ar"/>
        </w:rPr>
        <w:t>四、教学经费投入</w:t>
      </w:r>
      <w:bookmarkEnd w:id="45"/>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2022年教学日常运行支出为5276.28万元，本科实验经费支出为506.87万元，本科实习经费支出为455.78万元。生均教学日常运行支出为2459.29元，生均本科实验经费为237.21元，生均实习经费为213.30元。近两年生均教学日常运行支出、生均实验经费、生均实习经费见图5。</w:t>
      </w:r>
      <w:bookmarkStart w:id="46" w:name="_Toc17024"/>
      <w:bookmarkEnd w:id="46"/>
      <w:bookmarkStart w:id="47" w:name="_Toc26166"/>
      <w:bookmarkEnd w:id="47"/>
      <w:bookmarkStart w:id="48" w:name="_Toc781"/>
      <w:bookmarkEnd w:id="48"/>
    </w:p>
    <w:p>
      <w:pPr>
        <w:shd w:val="clear" w:color="auto" w:fill="FFFFFF"/>
        <w:jc w:val="left"/>
        <w:rPr>
          <w:rFonts w:ascii="宋体" w:hAnsi="宋体" w:eastAsia="宋体" w:cs="宋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5105400" cy="3829050"/>
            <wp:effectExtent l="0" t="0" r="0" b="0"/>
            <wp:docPr id="46"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IMG_260"/>
                    <pic:cNvPicPr>
                      <a:picLocks noChangeAspect="1"/>
                    </pic:cNvPicPr>
                  </pic:nvPicPr>
                  <pic:blipFill>
                    <a:blip r:embed="rId10"/>
                    <a:stretch>
                      <a:fillRect/>
                    </a:stretch>
                  </pic:blipFill>
                  <pic:spPr>
                    <a:xfrm>
                      <a:off x="0" y="0"/>
                      <a:ext cx="5105400" cy="3829050"/>
                    </a:xfrm>
                    <a:prstGeom prst="rect">
                      <a:avLst/>
                    </a:prstGeom>
                    <a:noFill/>
                    <a:ln w="9525">
                      <a:noFill/>
                    </a:ln>
                  </pic:spPr>
                </pic:pic>
              </a:graphicData>
            </a:graphic>
          </wp:inline>
        </w:drawing>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图5  近两年生均教学日常运行支出、生均实验经费、生均实习经费（元）</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五、教学设施条件</w:t>
      </w:r>
    </w:p>
    <w:p>
      <w:pPr>
        <w:shd w:val="clear" w:color="auto" w:fill="FFFFFF"/>
        <w:spacing w:line="400" w:lineRule="exact"/>
        <w:jc w:val="left"/>
        <w:rPr>
          <w:rFonts w:ascii="Times New Roman" w:hAnsi="Times New Roman" w:eastAsia="黑体" w:cs="Times New Roman"/>
          <w:color w:val="000000"/>
          <w:sz w:val="28"/>
          <w:szCs w:val="28"/>
          <w:shd w:val="clear" w:color="auto" w:fill="FFFFFF"/>
        </w:rPr>
      </w:pPr>
      <w:bookmarkStart w:id="49" w:name="_Toc804"/>
      <w:bookmarkEnd w:id="49"/>
      <w:r>
        <w:rPr>
          <w:rFonts w:hint="eastAsia" w:ascii="黑体" w:hAnsi="宋体" w:eastAsia="黑体" w:cs="黑体"/>
          <w:color w:val="000000"/>
          <w:sz w:val="28"/>
          <w:szCs w:val="28"/>
          <w:shd w:val="clear" w:color="auto" w:fill="FFFFFF"/>
          <w:lang w:bidi="ar"/>
        </w:rPr>
        <w:t>（一）教学用房</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根据2023年统计，学校总占地面积87.36万m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，产权占地面积为87.36万m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，学校总建筑面积为46.88万m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学校现有教学行政用房面积（教学科研及辅助用房+行政办公用房）共215778.13m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，其中教室面积71694.3m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（含智慧教室面积606.62m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），实验室及实习场所面积65144.95m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。拥有体育馆面积9981.3m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。拥有运动场面积73247.0m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按全日制在校生21368人算，生均学校占地面积为40.88（m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/生），生均建筑面积为21.94（m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/生），生均教学行政用房面积为10.10（m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/生），生均实验、实习场所面积3.05（m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/生），生均体育馆面积0.47（m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/生），生均运动场面积3.43（m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/生），详见表4。</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表4  各生均面积详细情况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2"/>
        <w:gridCol w:w="2849"/>
        <w:gridCol w:w="3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类别</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总面积（平方米）</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生均面积（平方米）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占地面积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873630.26</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40.88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建筑面积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468794.00</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教学行政用房面积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215778.13</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10.10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实验、实习场所面积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65144.95</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体育馆面积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9981.3</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运动场面积</w:t>
            </w:r>
          </w:p>
        </w:tc>
        <w:tc>
          <w:tcPr>
            <w:tcW w:w="28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73247.0</w:t>
            </w:r>
          </w:p>
        </w:tc>
        <w:tc>
          <w:tcPr>
            <w:tcW w:w="3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 w:val="24"/>
                <w:lang w:bidi="ar"/>
              </w:rPr>
              <w:t>3.43</w:t>
            </w:r>
          </w:p>
        </w:tc>
      </w:tr>
    </w:tbl>
    <w:p>
      <w:pPr>
        <w:shd w:val="clear" w:color="auto" w:fill="FFFFFF"/>
        <w:spacing w:line="400" w:lineRule="exact"/>
        <w:jc w:val="left"/>
        <w:rPr>
          <w:rFonts w:ascii="Times New Roman" w:hAnsi="Times New Roman" w:eastAsia="黑体" w:cs="Times New Roman"/>
          <w:color w:val="000000"/>
          <w:sz w:val="28"/>
          <w:szCs w:val="28"/>
          <w:shd w:val="clear" w:color="auto" w:fill="FFFFFF"/>
        </w:rPr>
      </w:pPr>
      <w:bookmarkStart w:id="50" w:name="_Toc14308"/>
      <w:bookmarkEnd w:id="50"/>
      <w:r>
        <w:rPr>
          <w:rFonts w:hint="eastAsia" w:ascii="黑体" w:hAnsi="宋体" w:eastAsia="黑体" w:cs="黑体"/>
          <w:color w:val="000000"/>
          <w:sz w:val="28"/>
          <w:szCs w:val="28"/>
          <w:shd w:val="clear" w:color="auto" w:fill="FFFFFF"/>
          <w:lang w:bidi="ar"/>
        </w:rPr>
        <w:t>（二）教学科研仪器设备与教学实验室</w:t>
      </w:r>
      <w:r>
        <w:rPr>
          <w:rFonts w:ascii="Times New Roman" w:hAnsi="Times New Roman" w:eastAsia="黑体" w:cs="Times New Roman"/>
          <w:color w:val="000000"/>
          <w:sz w:val="28"/>
          <w:szCs w:val="28"/>
          <w:shd w:val="clear" w:color="auto" w:fill="FFFFFF"/>
          <w:lang w:bidi="ar"/>
        </w:rPr>
        <w:tab/>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51" w:name="_Toc2055"/>
      <w:bookmarkEnd w:id="51"/>
      <w:r>
        <w:rPr>
          <w:rFonts w:hint="eastAsia" w:ascii="宋体" w:hAnsi="宋体" w:eastAsia="宋体" w:cs="宋体"/>
          <w:color w:val="000000"/>
          <w:sz w:val="24"/>
          <w:shd w:val="clear" w:color="auto" w:fill="FFFFFF"/>
          <w:lang w:bidi="ar"/>
        </w:rPr>
        <w:t>学校现有教学、科研仪器设备资产总值1.93亿元，生均教学科研仪器设备值0.90万元。当年新增教学科研仪器设备值1149.0万元，新增值达到教学科研仪器设备总值的6.32%。</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本科教学实验仪器设备14841.0台（套），合计总值1.726亿元，其中单价10万元以上的实验仪器设备243台（套），总值6172.00万元，按本科在校生21368人计算，本科生均实验仪器设备值8075.42元，省部级实验教学中心14个，省部级虚拟仿真实验教学项目7个。</w:t>
      </w:r>
    </w:p>
    <w:p>
      <w:pPr>
        <w:shd w:val="clear" w:color="auto" w:fill="FFFFFF"/>
        <w:spacing w:line="400" w:lineRule="exact"/>
        <w:jc w:val="left"/>
        <w:rPr>
          <w:rFonts w:ascii="Times New Roman" w:hAnsi="Times New Roman" w:eastAsia="黑体" w:cs="Times New Roman"/>
          <w:color w:val="000000"/>
          <w:sz w:val="28"/>
          <w:szCs w:val="28"/>
          <w:shd w:val="clear" w:color="auto" w:fill="FFFFFF"/>
        </w:rPr>
      </w:pPr>
      <w:r>
        <w:rPr>
          <w:rFonts w:hint="eastAsia" w:ascii="黑体" w:hAnsi="宋体" w:eastAsia="黑体" w:cs="黑体"/>
          <w:color w:val="000000"/>
          <w:sz w:val="28"/>
          <w:szCs w:val="28"/>
          <w:shd w:val="clear" w:color="auto" w:fill="FFFFFF"/>
          <w:lang w:bidi="ar"/>
        </w:rPr>
        <w:t>（三）图书馆及图书资源</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截至2023年9月，学校拥有图书馆2个，图书馆总面积达到26487.5m</w:t>
      </w:r>
      <w:r>
        <w:rPr>
          <w:rFonts w:hint="eastAsia" w:ascii="宋体" w:hAnsi="宋体" w:eastAsia="宋体" w:cs="宋体"/>
          <w:color w:val="000000"/>
          <w:sz w:val="24"/>
          <w:shd w:val="clear" w:color="auto" w:fill="FFFFFF"/>
          <w:vertAlign w:val="superscript"/>
          <w:lang w:bidi="ar"/>
        </w:rPr>
        <w:t>2</w:t>
      </w:r>
      <w:r>
        <w:rPr>
          <w:rFonts w:hint="eastAsia" w:ascii="宋体" w:hAnsi="宋体" w:eastAsia="宋体" w:cs="宋体"/>
          <w:color w:val="000000"/>
          <w:sz w:val="24"/>
          <w:shd w:val="clear" w:color="auto" w:fill="FFFFFF"/>
          <w:lang w:bidi="ar"/>
        </w:rPr>
        <w:t>，阅览室座位数2366个。图书馆拥有纸质图书187.38万册，当年新增92186.0册，生均纸质图书87.34册；拥有电子期刊196.32万册，学位论文751.74万册，音视频283201.0小时。2022年图书流通量达到4.65万本册，电子资源访问量88.39万次，当年电子资源下载量96.94万篇次。</w:t>
      </w:r>
    </w:p>
    <w:p>
      <w:pPr>
        <w:shd w:val="clear" w:color="auto" w:fill="FFFFFF"/>
        <w:spacing w:line="500" w:lineRule="exact"/>
        <w:outlineLvl w:val="0"/>
        <w:rPr>
          <w:rFonts w:ascii="Times New Roman" w:hAnsi="Times New Roman" w:eastAsia="黑体" w:cs="Times New Roman"/>
          <w:b/>
          <w:bCs/>
          <w:color w:val="000000"/>
          <w:sz w:val="36"/>
          <w:szCs w:val="36"/>
          <w:shd w:val="clear" w:color="auto" w:fill="FFFFFF"/>
        </w:rPr>
      </w:pPr>
      <w:bookmarkStart w:id="52" w:name="_Toc22040"/>
      <w:bookmarkEnd w:id="52"/>
      <w:bookmarkStart w:id="53" w:name="_Toc19241"/>
      <w:bookmarkEnd w:id="53"/>
      <w:bookmarkStart w:id="54" w:name="_Toc25365"/>
      <w:r>
        <w:rPr>
          <w:rFonts w:ascii="Times New Roman" w:hAnsi="Times New Roman" w:eastAsia="黑体" w:cs="Times New Roman"/>
          <w:b/>
          <w:bCs/>
          <w:color w:val="000000"/>
          <w:sz w:val="36"/>
          <w:szCs w:val="36"/>
          <w:shd w:val="clear" w:color="auto" w:fill="FFFFFF"/>
          <w:lang w:bidi="ar"/>
        </w:rPr>
        <w:t xml:space="preserve"> </w:t>
      </w:r>
      <w:bookmarkEnd w:id="54"/>
    </w:p>
    <w:p>
      <w:pPr>
        <w:shd w:val="clear" w:color="auto" w:fill="FFFFFF"/>
        <w:spacing w:line="500" w:lineRule="exact"/>
        <w:jc w:val="center"/>
        <w:outlineLvl w:val="0"/>
        <w:rPr>
          <w:rFonts w:ascii="Times New Roman" w:hAnsi="Times New Roman" w:eastAsia="黑体" w:cs="Times New Roman"/>
          <w:color w:val="000000"/>
          <w:sz w:val="30"/>
          <w:szCs w:val="30"/>
          <w:shd w:val="clear" w:color="auto" w:fill="FFFFFF"/>
        </w:rPr>
      </w:pPr>
      <w:r>
        <w:rPr>
          <w:rFonts w:hint="eastAsia" w:ascii="黑体" w:hAnsi="宋体" w:eastAsia="黑体" w:cs="黑体"/>
          <w:b/>
          <w:bCs/>
          <w:color w:val="000000"/>
          <w:sz w:val="36"/>
          <w:szCs w:val="36"/>
          <w:shd w:val="clear" w:color="auto" w:fill="FFFFFF"/>
          <w:lang w:bidi="ar"/>
        </w:rPr>
        <w:t>第三部分  教学建设与改革</w:t>
      </w:r>
    </w:p>
    <w:p>
      <w:pPr>
        <w:shd w:val="clear" w:color="auto" w:fill="FFFFFF"/>
        <w:spacing w:line="400" w:lineRule="exact"/>
        <w:ind w:firstLine="480" w:firstLineChars="200"/>
        <w:rPr>
          <w:rFonts w:ascii="Times New Roman" w:hAnsi="Times New Roman" w:cs="Times New Roman"/>
          <w:color w:val="000000"/>
          <w:sz w:val="24"/>
          <w:shd w:val="clear" w:color="auto" w:fill="FFFFFF"/>
        </w:rPr>
      </w:pPr>
      <w:r>
        <w:rPr>
          <w:rFonts w:hint="eastAsia" w:ascii="宋体" w:hAnsi="宋体" w:eastAsia="宋体" w:cs="宋体"/>
          <w:color w:val="000000"/>
          <w:sz w:val="24"/>
          <w:shd w:val="clear" w:color="auto" w:fill="FFFFFF"/>
          <w:lang w:bidi="ar"/>
        </w:rPr>
        <w:t>学校高度重视专业和课程建设，科学制定培养方案，深化教学改革，规范教学管理，加强教学运行和质量监控，不断提高人才培养质量。</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55" w:name="_Toc392"/>
      <w:bookmarkEnd w:id="55"/>
      <w:bookmarkStart w:id="56" w:name="_Toc10829"/>
      <w:bookmarkEnd w:id="56"/>
      <w:bookmarkStart w:id="57" w:name="_Toc16944"/>
      <w:r>
        <w:rPr>
          <w:rFonts w:hint="eastAsia" w:ascii="黑体" w:hAnsi="宋体" w:eastAsia="黑体" w:cs="黑体"/>
          <w:color w:val="000000"/>
          <w:sz w:val="30"/>
          <w:szCs w:val="30"/>
          <w:shd w:val="clear" w:color="auto" w:fill="FFFFFF"/>
          <w:lang w:bidi="ar"/>
        </w:rPr>
        <w:t>一、专业建设</w:t>
      </w:r>
      <w:bookmarkEnd w:id="57"/>
      <w:r>
        <w:rPr>
          <w:rFonts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紧紧围绕教育现代化2035、长三角区域一体化、长江经济带、区域特色优势产业转型升级等重大发展战略需要，抢抓一流专业建设机遇,推动学科建设跨越式发展，主动适应、融入、引领所服务区域的新产业、新业态发展，瞄准当地经济社会发展的新增长点，形成人才培养和技术创新新格局。紧紧围绕我省十大战略性新兴产业调整优化学科专业布局，推动科研院所与行业企业深入参与学科专业建设和人才培养，构建政产学研用深度融合的协同育人机制。做精做强财经学科，擦亮财经特色；大力发展理工学科，打造学科建设新特色新优势；积极发展人文、艺术等学科，促进多学科协调发展。</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sz w:val="24"/>
          <w:shd w:val="clear" w:color="auto" w:fill="FFFFFF"/>
        </w:rPr>
      </w:pPr>
      <w:r>
        <w:rPr>
          <w:rFonts w:hint="eastAsia" w:ascii="宋体" w:hAnsi="宋体" w:eastAsia="宋体" w:cs="宋体"/>
          <w:sz w:val="24"/>
          <w:shd w:val="clear" w:color="auto" w:fill="FFFFFF"/>
          <w:lang w:bidi="ar"/>
        </w:rPr>
        <w:t>学校专业现有4个入选国家级一流专业、15个专业入选省级一流专业。13个专业入选“卓越工程人才”计划2.0专业，2个专业入选“卓越法治人才”计划2.0专业，2个专业入选“卓越新闻传播人才”计划2.0专业，2个专业入选“卓越教师”计划2.0专业。当年学校招生的校内专业80个，停招的校内专业13个，停招的校内专业分别是：投资学（专升本）、跨境电子商务,人力资源管理（专升本）、电子商务（专升本）、国际经济与贸易（专升本）、商务英语（专升本）、物联网工程、数学与应用数学（师范类）、劳动与社会保障（专升本）,音乐表演、音乐学（师范）、工业工程、土木工程（专升本）。</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学校有专业带头人69人，其中具有高级职称的57人，所占比例为82.61%，获得博士学位的23人，所占比例为33.33%。</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2023级本科培养方案中，各学科培养方案学分统计如下表5所示。</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表5  全校各学科2023级培养方案本科专业培养方案学分统计表</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4"/>
        <w:gridCol w:w="1065"/>
        <w:gridCol w:w="1065"/>
        <w:gridCol w:w="1065"/>
        <w:gridCol w:w="1065"/>
        <w:gridCol w:w="1065"/>
        <w:gridCol w:w="1065"/>
        <w:gridCol w:w="1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学科</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必修课学分比例（%）</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选修课学分比例（%）</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实践教学学分比例（%）</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学科</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必修课学分比例（%）</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选修课学分比例（%）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实践教学学分比例（%）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哲学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理学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68.39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10.54</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67.72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13.32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26.41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工学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68.67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12.29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79.07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12.00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22.70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农学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教育学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医学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文学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68.58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13.52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30.49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管理学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67.39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14.17</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历史学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艺术学</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51.52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23.05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35.16</w:t>
            </w:r>
          </w:p>
        </w:tc>
      </w:tr>
    </w:tbl>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58" w:name="_Toc5373"/>
      <w:bookmarkEnd w:id="58"/>
      <w:bookmarkStart w:id="59" w:name="_Toc7272"/>
      <w:bookmarkEnd w:id="59"/>
      <w:bookmarkStart w:id="60" w:name="_Toc7907"/>
      <w:r>
        <w:rPr>
          <w:rFonts w:hint="eastAsia" w:ascii="黑体" w:hAnsi="宋体" w:eastAsia="黑体" w:cs="黑体"/>
          <w:color w:val="000000"/>
          <w:sz w:val="30"/>
          <w:szCs w:val="30"/>
          <w:shd w:val="clear" w:color="auto" w:fill="FFFFFF"/>
          <w:lang w:bidi="ar"/>
        </w:rPr>
        <w:t>二、课程建设</w:t>
      </w:r>
      <w:bookmarkEnd w:id="60"/>
    </w:p>
    <w:p>
      <w:pPr>
        <w:shd w:val="clear" w:color="auto" w:fill="FFFFFF"/>
        <w:spacing w:line="400" w:lineRule="exact"/>
        <w:jc w:val="left"/>
        <w:rPr>
          <w:rFonts w:ascii="Times New Roman" w:hAnsi="Times New Roman" w:eastAsia="黑体" w:cs="Times New Roman"/>
          <w:color w:val="000000"/>
          <w:sz w:val="28"/>
          <w:szCs w:val="28"/>
          <w:shd w:val="clear" w:color="auto" w:fill="FFFFFF"/>
        </w:rPr>
      </w:pPr>
      <w:bookmarkStart w:id="61" w:name="_Toc21096"/>
      <w:bookmarkEnd w:id="61"/>
      <w:bookmarkStart w:id="62" w:name="_Toc8763"/>
      <w:bookmarkEnd w:id="62"/>
      <w:bookmarkStart w:id="63" w:name="_Toc5239"/>
      <w:r>
        <w:rPr>
          <w:rFonts w:hint="eastAsia" w:ascii="黑体" w:hAnsi="宋体" w:eastAsia="黑体" w:cs="黑体"/>
          <w:color w:val="000000"/>
          <w:sz w:val="28"/>
          <w:szCs w:val="28"/>
          <w:shd w:val="clear" w:color="auto" w:fill="FFFFFF"/>
          <w:lang w:bidi="ar"/>
        </w:rPr>
        <w:t>（</w:t>
      </w:r>
      <w:bookmarkEnd w:id="63"/>
      <w:r>
        <w:rPr>
          <w:rFonts w:hint="eastAsia" w:ascii="黑体" w:hAnsi="宋体" w:eastAsia="黑体" w:cs="黑体"/>
          <w:color w:val="000000"/>
          <w:sz w:val="28"/>
          <w:szCs w:val="28"/>
          <w:shd w:val="clear" w:color="auto" w:fill="FFFFFF"/>
          <w:lang w:bidi="ar"/>
        </w:rPr>
        <w:t>一）课程体系</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坚持“学生中心、产出导向、持续改进”的理念，强化理论基础，突出产教融合、科教融汇，注重培养学生创新能力。按照学以致用、全面发展的原则，整合课程资源、优化课程体系、更新教学内容、改进教学手段与方法。在课程体系设置中，深化实践教育、创新创业教育和大学生社会责任教育三位一体教学改革，培养和造就基础知识实、实践能力强、综合素质高、社会责任感强，有一定创新创业能力的高素质应用型人才，更好地服务地方经济社会发展。</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人才培养方案的课程体系包括思想政治理论课、通识课程（含人文社会科学、自然科学、身心健康）、专业基础课、专业核心（必修）课、专业选修（方向）、集中性实践、通识扩展（公共选修课）、创新创业与劳动教育、第二课堂等九大模块。</w:t>
      </w:r>
    </w:p>
    <w:p>
      <w:pPr>
        <w:shd w:val="clear" w:color="auto" w:fill="FFFFFF"/>
        <w:spacing w:line="400" w:lineRule="exact"/>
        <w:jc w:val="left"/>
        <w:rPr>
          <w:rFonts w:ascii="黑体" w:hAnsi="宋体" w:eastAsia="黑体" w:cs="黑体"/>
          <w:color w:val="000000"/>
          <w:sz w:val="28"/>
          <w:szCs w:val="28"/>
          <w:shd w:val="clear" w:color="auto" w:fill="FFFFFF"/>
        </w:rPr>
      </w:pPr>
      <w:bookmarkStart w:id="64" w:name="_Toc28271"/>
      <w:bookmarkEnd w:id="64"/>
      <w:bookmarkStart w:id="65" w:name="_Toc22772"/>
      <w:r>
        <w:rPr>
          <w:rFonts w:hint="eastAsia" w:ascii="黑体" w:hAnsi="宋体" w:eastAsia="黑体" w:cs="黑体"/>
          <w:color w:val="000000"/>
          <w:sz w:val="28"/>
          <w:szCs w:val="28"/>
          <w:shd w:val="clear" w:color="auto" w:fill="FFFFFF"/>
          <w:lang w:bidi="ar"/>
        </w:rPr>
        <w:t>（二）课程资源建设</w:t>
      </w:r>
      <w:bookmarkEnd w:id="65"/>
    </w:p>
    <w:p>
      <w:pPr>
        <w:shd w:val="clear" w:color="auto" w:fill="FFFFFF"/>
        <w:spacing w:line="400" w:lineRule="exact"/>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本学年，学校共开设本科生公共必修课、公共选修课、专业课共1836门、6533门次，已建设SPOC课程9门。近两学年班额统计情况详见表6。</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表6  近两学年班额统计情况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2"/>
        <w:gridCol w:w="999"/>
        <w:gridCol w:w="2040"/>
        <w:gridCol w:w="2040"/>
        <w:gridCol w:w="2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班额</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公共必修课（%）</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公共选修课（%）</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b/>
                <w:color w:val="000000"/>
                <w:szCs w:val="21"/>
                <w:lang w:bidi="ar"/>
              </w:rPr>
              <w:t>专业课（%）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30人及以下</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本学年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25.19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3.79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19.38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上学年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36.76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11.86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12.83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31-60人</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本学年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32.91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35.61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63.53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上学年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30.55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45.76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63.74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61-90人</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本学年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15.21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12.88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13.14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上学年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11.78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11.86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14.47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90人以上</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本学年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26.69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47.73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02"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上学年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20.91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 xml:space="preserve">30.51 </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8.96</w:t>
            </w:r>
          </w:p>
        </w:tc>
      </w:tr>
    </w:tbl>
    <w:p>
      <w:pPr>
        <w:shd w:val="clear" w:color="auto" w:fill="FFFFFF"/>
        <w:spacing w:line="400" w:lineRule="exact"/>
        <w:jc w:val="left"/>
        <w:rPr>
          <w:rFonts w:ascii="Times New Roman" w:hAnsi="Times New Roman" w:eastAsia="黑体" w:cs="Times New Roman"/>
          <w:color w:val="000000"/>
          <w:sz w:val="28"/>
          <w:szCs w:val="28"/>
          <w:shd w:val="clear" w:color="auto" w:fill="FFFFFF"/>
        </w:rPr>
      </w:pPr>
      <w:bookmarkStart w:id="66" w:name="_Toc14309"/>
      <w:bookmarkEnd w:id="66"/>
      <w:bookmarkStart w:id="67" w:name="_Toc6878"/>
      <w:bookmarkEnd w:id="67"/>
      <w:bookmarkStart w:id="68" w:name="_Toc1793"/>
      <w:r>
        <w:rPr>
          <w:rFonts w:hint="eastAsia" w:ascii="黑体" w:hAnsi="宋体" w:eastAsia="黑体" w:cs="黑体"/>
          <w:color w:val="000000"/>
          <w:sz w:val="30"/>
          <w:szCs w:val="30"/>
          <w:shd w:val="clear" w:color="auto" w:fill="FFFFFF"/>
          <w:lang w:bidi="ar"/>
        </w:rPr>
        <w:t>三、教材建设</w:t>
      </w:r>
      <w:bookmarkEnd w:id="68"/>
      <w:r>
        <w:rPr>
          <w:rFonts w:ascii="Times New Roman" w:hAnsi="Times New Roman" w:eastAsia="黑体" w:cs="Times New Roman"/>
          <w:color w:val="000000"/>
          <w:sz w:val="28"/>
          <w:szCs w:val="28"/>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学校领导高度重视教材建设，鼓励教师结合应用型人才培养目标的需要，编写符合专业特点和学校定位的优秀教材，鼓励教师与行业、企业人员联合编写出适合学校特色的系列教材。</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bookmarkStart w:id="69" w:name="_Toc17102"/>
      <w:bookmarkEnd w:id="69"/>
      <w:bookmarkStart w:id="70" w:name="_Toc7420"/>
      <w:bookmarkEnd w:id="70"/>
      <w:bookmarkStart w:id="71" w:name="_Toc6294"/>
      <w:r>
        <w:rPr>
          <w:rFonts w:hint="eastAsia" w:ascii="黑体" w:hAnsi="宋体" w:eastAsia="黑体" w:cs="黑体"/>
          <w:color w:val="000000"/>
          <w:sz w:val="30"/>
          <w:szCs w:val="30"/>
          <w:shd w:val="clear" w:color="auto" w:fill="FFFFFF"/>
          <w:lang w:bidi="ar"/>
        </w:rPr>
        <w:t>四、实践教学</w:t>
      </w:r>
      <w:bookmarkEnd w:id="71"/>
      <w:bookmarkStart w:id="72" w:name="_Toc23395"/>
      <w:bookmarkEnd w:id="72"/>
    </w:p>
    <w:p>
      <w:pPr>
        <w:shd w:val="clear" w:color="auto" w:fill="FFFFFF"/>
        <w:spacing w:line="400" w:lineRule="exact"/>
        <w:ind w:firstLine="480" w:firstLineChars="200"/>
        <w:rPr>
          <w:rFonts w:ascii="宋体" w:hAnsi="宋体" w:eastAsia="宋体" w:cs="宋体"/>
          <w:color w:val="000000"/>
          <w:sz w:val="24"/>
          <w:shd w:val="clear" w:color="auto" w:fill="FFFFFF"/>
        </w:rPr>
      </w:pPr>
      <w:bookmarkStart w:id="73" w:name="_Toc663"/>
      <w:bookmarkEnd w:id="73"/>
      <w:bookmarkStart w:id="74" w:name="_Toc14684"/>
      <w:r>
        <w:rPr>
          <w:rFonts w:hint="eastAsia" w:ascii="宋体" w:hAnsi="宋体" w:eastAsia="宋体" w:cs="宋体"/>
          <w:color w:val="000000"/>
          <w:sz w:val="24"/>
          <w:shd w:val="clear" w:color="auto" w:fill="FFFFFF"/>
          <w:lang w:bidi="ar"/>
        </w:rPr>
        <w:t>本学年本科生开设实验的专业课程共计421门，其中独立设置的专业实验课程11门。学校有实验技术人员55人，具有高级职称9人，所占比例为16.36%，具有硕士及以上学位15人，所占比例为27.27%。学校现有校外实习、实训基地75个，本学年共接纳学生10069人次。</w:t>
      </w:r>
      <w:bookmarkEnd w:id="74"/>
    </w:p>
    <w:p>
      <w:pPr>
        <w:shd w:val="clear" w:color="auto" w:fill="FFFFFF"/>
        <w:spacing w:line="400" w:lineRule="exact"/>
        <w:outlineLvl w:val="1"/>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五、本科毕业论文</w:t>
      </w:r>
      <w:bookmarkStart w:id="75" w:name="_Toc848"/>
      <w:bookmarkEnd w:id="75"/>
      <w:bookmarkStart w:id="76" w:name="_Toc20132"/>
      <w:bookmarkEnd w:id="76"/>
      <w:bookmarkStart w:id="77" w:name="_Toc31297"/>
      <w:bookmarkEnd w:id="77"/>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学校十分重视学生毕业论文（设计）工作，全面推进毕业生论文选题、开题、指导、评阅、答辩等工作，先后发布《关于做好2023届本科毕业论文（设计）工作的通知》《关于进一步深化毕业论文（设计）改革的实施意见(修订版）》，各个学院根据自身情况制定详细的答辩工作实施方案，严把毕业论文（设计）“选题关”“过程关”“答辩关”，以学生为本，从制度入手，精心部署答辩工作，全力保障毕业生的“最后一堂课”。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加强对毕业论文指导教师的管理工作，要求从毕业论文（设计）的目的与意义、概况综述、毕业论文（设计）的内容、方法、研究计划等环节进行全面指导，及时对学生各阶段的完成情况做出客观评价，做好指导记录，避免同题、低水平题目的出现，遏制抄袭的不良风气，激励教师开展创新研究。同时，学校加强对教师的“传帮带”作用，指定优秀教师辅助首次指导毕业论文（设计）教师进行选题、做好开题报告和中期检查。</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本学年选题供学生选做毕业论文（设计）共5752个。学校共有587名教师参与了本科生毕业论文（设计）的指导工作，指导教师具有副高级以上职称的人数比例约占37.99%，学校聘请了204位外聘教师担任指导老师。平均每位教师指导学生人数为7.27人。</w:t>
      </w:r>
    </w:p>
    <w:p>
      <w:pPr>
        <w:shd w:val="clear" w:color="auto" w:fill="FFFFFF"/>
        <w:spacing w:line="400" w:lineRule="exact"/>
        <w:outlineLvl w:val="1"/>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六、创新创业教育</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学校抢抓“大众创业 万众创新”发展新机遇，以立德树人根本任务，紧紧围绕创新创业人才培养这条主线，构建多元协同的联动机制，精心构建“四个体系”，搭建全员参与的课程体系，创建院校两级的训练体系，拓建互嵌联动的孵化体系，完善内外专兼的导师体系，全过程、全方位、全覆盖培养双创人才。</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设立创新创业奖学金10.45万元，拥有创新创业教育专职教师8人，就业指导专职教师17人，创新创业教育兼职导师65人。设立创新创业教育实践基地（平台）50个，高校实践育人创新创业基地17个，大学生创业园3个，创业孵化园1个，众创空间22个，科技园等2个，其他5个。本学年学校共立项建设国家级大学生创新创业训练项目116个（其中创新81个，创业35个），省部级大学生创新创业训练项目387个（其中创新311个，创业76个）。</w:t>
      </w:r>
      <w:bookmarkStart w:id="78" w:name="_Toc17507"/>
      <w:bookmarkEnd w:id="78"/>
      <w:bookmarkStart w:id="79" w:name="_Toc13141"/>
      <w:bookmarkEnd w:id="79"/>
      <w:bookmarkStart w:id="80" w:name="_Toc32085"/>
      <w:bookmarkEnd w:id="80"/>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七、教学改革</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立德树人根本任务，以提升应用型人才培养质量为出发点，以更新培养理念、改革培养模式和优化课程设置为着力点，以落实教学质量国家标准和推进教学方法改革为支撑点，以提升学生综合素质与创新创业能力为目标，不断深化学校教育教学改革，完善教学管理与组织形式，建立健全教学质量保障体系，推动学校人才培养质量不断提升，教学方法和教学手段改革成效显著。</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学校获省部级教学成果奖6项。本学年学校教师主持省部级教学研究与改革项目42项，建设经费达100万元，其中省部级100万元，如表7。</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 xml:space="preserve"> </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表7  2022年学校教师主持省级及以上本科教学工程（质量工程）项目情况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8"/>
        <w:gridCol w:w="2500"/>
        <w:gridCol w:w="1766"/>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项目类型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国家级（教育部）项目数</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省部级项目数</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产学合作协同育人项目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其他项目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实践教学基地</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实验教学示范中心</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教材建设重点研究基地</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新工科研究与实践项目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新文科研究与实践项目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社会实践一流课程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线上线下混合式一流课程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线下一流课程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虚拟仿真实验教学项目（包含虚拟仿真实验教学一流课程的项目）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hint="eastAsia" w:ascii="宋体" w:hAnsi="宋体" w:eastAsia="宋体" w:cs="宋体"/>
                <w:bCs/>
                <w:color w:val="000000"/>
                <w:szCs w:val="21"/>
                <w:lang w:bidi="ar"/>
              </w:rPr>
              <w:t>课程思政示范课程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0</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lang w:bidi="ar"/>
              </w:rPr>
              <w:t>5</w:t>
            </w:r>
          </w:p>
        </w:tc>
      </w:tr>
    </w:tbl>
    <w:p>
      <w:pPr>
        <w:pStyle w:val="8"/>
        <w:shd w:val="clear" w:color="auto" w:fill="FFFFFF"/>
        <w:spacing w:beforeAutospacing="0" w:afterAutospacing="0" w:line="500" w:lineRule="exact"/>
        <w:jc w:val="both"/>
        <w:rPr>
          <w:rFonts w:ascii="Times New Roman" w:hAnsi="Times New Roman" w:eastAsia="黑体"/>
          <w:b/>
          <w:bCs/>
          <w:color w:val="000000"/>
          <w:kern w:val="2"/>
          <w:sz w:val="36"/>
          <w:szCs w:val="36"/>
          <w:shd w:val="clear" w:color="auto" w:fill="FFFFFF"/>
        </w:rPr>
      </w:pPr>
      <w:bookmarkStart w:id="81" w:name="_Toc10644"/>
      <w:bookmarkEnd w:id="81"/>
      <w:r>
        <w:rPr>
          <w:rFonts w:hint="eastAsia" w:ascii="Times New Roman" w:hAnsi="Times New Roman" w:eastAsia="黑体"/>
          <w:b/>
          <w:bCs/>
          <w:color w:val="000000"/>
          <w:kern w:val="2"/>
          <w:sz w:val="36"/>
          <w:szCs w:val="36"/>
          <w:shd w:val="clear" w:color="auto" w:fill="FFFFFF"/>
          <w:lang w:bidi="ar"/>
        </w:rPr>
        <w:t xml:space="preserve"> </w:t>
      </w:r>
    </w:p>
    <w:p>
      <w:pPr>
        <w:pStyle w:val="8"/>
        <w:shd w:val="clear" w:color="auto" w:fill="FFFFFF"/>
        <w:spacing w:beforeAutospacing="0" w:afterAutospacing="0" w:line="500" w:lineRule="exact"/>
        <w:ind w:firstLine="1807" w:firstLineChars="500"/>
        <w:jc w:val="both"/>
        <w:rPr>
          <w:rFonts w:ascii="Times New Roman" w:hAnsi="Times New Roman" w:eastAsia="黑体"/>
          <w:b/>
          <w:bCs/>
          <w:color w:val="000000"/>
          <w:kern w:val="2"/>
          <w:sz w:val="36"/>
          <w:szCs w:val="36"/>
          <w:shd w:val="clear" w:color="auto" w:fill="FFFFFF"/>
        </w:rPr>
      </w:pPr>
      <w:r>
        <w:rPr>
          <w:rFonts w:hint="eastAsia" w:ascii="黑体" w:eastAsia="黑体" w:cs="黑体"/>
          <w:b/>
          <w:bCs/>
          <w:color w:val="000000"/>
          <w:kern w:val="2"/>
          <w:sz w:val="36"/>
          <w:szCs w:val="36"/>
          <w:shd w:val="clear" w:color="auto" w:fill="FFFFFF"/>
          <w:lang w:bidi="ar"/>
        </w:rPr>
        <w:t>第四部分</w:t>
      </w:r>
      <w:r>
        <w:rPr>
          <w:rFonts w:hint="eastAsia" w:ascii="Times New Roman" w:hAnsi="Times New Roman" w:eastAsia="黑体"/>
          <w:b/>
          <w:bCs/>
          <w:color w:val="000000"/>
          <w:kern w:val="2"/>
          <w:sz w:val="36"/>
          <w:szCs w:val="36"/>
          <w:shd w:val="clear" w:color="auto" w:fill="FFFFFF"/>
          <w:lang w:bidi="ar"/>
        </w:rPr>
        <w:t xml:space="preserve">  </w:t>
      </w:r>
      <w:r>
        <w:rPr>
          <w:rFonts w:hint="eastAsia" w:ascii="黑体" w:eastAsia="黑体" w:cs="黑体"/>
          <w:b/>
          <w:bCs/>
          <w:color w:val="000000"/>
          <w:kern w:val="2"/>
          <w:sz w:val="36"/>
          <w:szCs w:val="36"/>
          <w:shd w:val="clear" w:color="auto" w:fill="FFFFFF"/>
          <w:lang w:bidi="ar"/>
        </w:rPr>
        <w:t>专业培养能力</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一、以应用型人才培养为目标，持续优化人才培养方案</w:t>
      </w:r>
    </w:p>
    <w:p>
      <w:pPr>
        <w:pStyle w:val="8"/>
        <w:shd w:val="clear" w:color="auto" w:fill="FFFFFF"/>
        <w:spacing w:beforeAutospacing="0" w:afterAutospacing="0" w:line="400" w:lineRule="exact"/>
        <w:ind w:firstLine="480" w:firstLineChars="200"/>
        <w:rPr>
          <w:rFonts w:eastAsia="宋体" w:cs="宋体"/>
          <w:color w:val="000000"/>
          <w:kern w:val="2"/>
          <w:shd w:val="clear" w:color="auto" w:fill="FFFFFF"/>
        </w:rPr>
      </w:pPr>
      <w:r>
        <w:rPr>
          <w:rFonts w:hint="eastAsia" w:eastAsia="宋体" w:cs="宋体"/>
          <w:color w:val="000000"/>
          <w:kern w:val="2"/>
          <w:shd w:val="clear" w:color="auto" w:fill="FFFFFF"/>
          <w:lang w:bidi="ar"/>
        </w:rPr>
        <w:t>学校坚持产出导向、学生中心、持续改进、课程思政、打造“金课”等理念，贯彻国家专业标准、师范专业认证标准和新工科建设要求，持续优化专业人才培养过程。各专业在对地方产业、行业和用人单位全面调研和充分讨论的基础上，以学生能力输出为导向，完成了2023版人才培养方案修订工作。。学校各专业平均开设课程20.66门，其中公共课2.90门，专业课17.76门；各专业平均总学时2062.76，其中理论教学与实验教学学时分别为1685.82、334.92；学校专业平均总学分147.17，其中实践教学环节平均学分43.07，占比29.27%，实践教学环节学分最高的是建筑学专业73，最低的是法学专业25。</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二、以服务“十大新兴产业”发展为抓手，推进专业优化调整</w:t>
      </w:r>
    </w:p>
    <w:p>
      <w:pPr>
        <w:shd w:val="clear" w:color="auto" w:fill="FFFFFF"/>
        <w:spacing w:line="400" w:lineRule="exact"/>
        <w:ind w:firstLine="480" w:firstLineChars="20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全面对接服务“三地一区”建设和我省十大新兴产业发展需求，建设一批水平高、竞争力强、突出办学特色、符合社会发展需求的专业，以服务“十大新兴产业”为抓手，聚焦产业链，对标价值链，打造创新链，布局人才链，探索“四链耦合”的新路径，形成了以铜业为引领，市校联动的产学研矩阵效应。聚焦我省十大战略新兴产业发展需求和高考按专业招生改革，停办一批、改造一批、新办一批专业，重点扶持适应经济社会发展需求的特色专业，提升专业建设内涵，形成一批特色鲜明、优势突出的应用型专业群。</w:t>
      </w:r>
    </w:p>
    <w:p>
      <w:pPr>
        <w:shd w:val="clear" w:color="auto" w:fill="FFFFFF"/>
        <w:spacing w:line="400" w:lineRule="exact"/>
        <w:ind w:firstLine="480" w:firstLineChars="20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申报了数字经济、集成电路设计与集成系统、增材制造工程等9个新专业。停招了建筑电气与智能化、物联网工程、跨境电子商务等6个专业；调整了劳动与社会保障、金属材料工程和汽车服务工程3个专业的招生方向，目前实现58个本科专业招生。</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三、以创建“双万”计划为契机，大力实施一流专业建设</w:t>
      </w:r>
    </w:p>
    <w:p>
      <w:pPr>
        <w:shd w:val="clear" w:color="auto" w:fill="FFFFFF"/>
        <w:spacing w:line="400" w:lineRule="exact"/>
        <w:ind w:firstLine="480" w:firstLineChars="20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为推动“双万计划”，学校强化制度建设，制定了《铜陵学院一流专业建设实施方案》，加大国家级、省级一流专业和一流课程申报与建设力度，以产业发展为牵引，瞄准地方经济社会发展的增长极，深化“引企入教”改革，加强现代产业学院建设，促进教育链、人才链和产业链、创新链有效衔接，培养大批高素质应用型人才。经过建设，我校会计学、国际经济与贸易、计算机科学与技术、广告学4个专业获批国家级一流本科专业建设点，电气工程及其自动化获批省级一流本科专业建设点，我校省级一流本科专业数达到15个，获批总数位居安徽省同类型本科高校前列。2023年以来，获批1个省级教学团队、4个省级现代产业学院和特色学院，经安徽省教育厅批准，我校会计学、国际经济与贸易、计算机科学与技术、广告学等14个专业2023年起纳入安徽省第一批次本科招生。</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四、以工程教育专业认证为先导，全面开展专业认证工作</w:t>
      </w:r>
    </w:p>
    <w:p>
      <w:pPr>
        <w:shd w:val="clear" w:color="auto" w:fill="FFFFFF"/>
        <w:spacing w:line="400" w:lineRule="exact"/>
        <w:ind w:firstLine="480" w:firstLineChars="20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专业认证是专业内涵建设的重要抓手，也是国家级级“一流专业”建设的必要条件，为更好地实现我校“推进工程教育专业认证、提升工程教育质量”的总体目标，学校召开《2023版本科人才培养方案修订工作部署会》，全面修订专业人才培养方案和课程教学大纲，出台了《铜陵学院工程教育专业认证工作实施办法》，扎实开展专业认证工作，切实提高人才培养质量。2022年数学与计算机学院、电气工程学院多次邀请专家做工程教育专业认证报告，目前自动化、电子信息工程、数字媒体技术和土木工程四个工科专业已全面开展专业认证工作。</w:t>
      </w:r>
    </w:p>
    <w:p>
      <w:pPr>
        <w:shd w:val="clear" w:color="auto" w:fill="FFFFFF"/>
        <w:spacing w:line="500" w:lineRule="exact"/>
        <w:jc w:val="center"/>
        <w:outlineLvl w:val="0"/>
        <w:rPr>
          <w:rFonts w:ascii="黑体" w:hAnsi="宋体" w:eastAsia="黑体" w:cs="黑体"/>
          <w:b/>
          <w:bCs/>
          <w:color w:val="000000"/>
          <w:sz w:val="36"/>
          <w:szCs w:val="36"/>
          <w:shd w:val="clear" w:color="auto" w:fill="FFFFFF"/>
        </w:rPr>
      </w:pPr>
      <w:bookmarkStart w:id="82" w:name="_Toc19652"/>
      <w:bookmarkEnd w:id="82"/>
      <w:bookmarkStart w:id="83" w:name="_Toc17421"/>
      <w:bookmarkEnd w:id="83"/>
      <w:bookmarkStart w:id="84" w:name="_Toc6085"/>
      <w:r>
        <w:rPr>
          <w:rFonts w:hint="eastAsia" w:ascii="黑体" w:hAnsi="宋体" w:eastAsia="黑体" w:cs="黑体"/>
          <w:b/>
          <w:bCs/>
          <w:color w:val="000000"/>
          <w:sz w:val="36"/>
          <w:szCs w:val="36"/>
          <w:shd w:val="clear" w:color="auto" w:fill="FFFFFF"/>
          <w:lang w:bidi="ar"/>
        </w:rPr>
        <w:t xml:space="preserve"> </w:t>
      </w:r>
      <w:bookmarkEnd w:id="84"/>
    </w:p>
    <w:p>
      <w:pPr>
        <w:shd w:val="clear" w:color="auto" w:fill="FFFFFF"/>
        <w:spacing w:line="500" w:lineRule="exact"/>
        <w:jc w:val="center"/>
        <w:outlineLvl w:val="0"/>
        <w:rPr>
          <w:rFonts w:ascii="Times New Roman" w:hAnsi="Times New Roman" w:eastAsia="黑体" w:cs="Times New Roman"/>
          <w:color w:val="000000"/>
          <w:sz w:val="28"/>
          <w:szCs w:val="28"/>
          <w:shd w:val="clear" w:color="auto" w:fill="FFFFFF"/>
        </w:rPr>
      </w:pPr>
      <w:r>
        <w:rPr>
          <w:rFonts w:hint="eastAsia" w:ascii="黑体" w:hAnsi="宋体" w:eastAsia="黑体" w:cs="黑体"/>
          <w:b/>
          <w:bCs/>
          <w:color w:val="000000"/>
          <w:sz w:val="36"/>
          <w:szCs w:val="36"/>
          <w:shd w:val="clear" w:color="auto" w:fill="FFFFFF"/>
          <w:lang w:bidi="ar"/>
        </w:rPr>
        <w:t>第五部分 质量保障体系</w:t>
      </w:r>
      <w:bookmarkStart w:id="85" w:name="_Toc22351"/>
      <w:bookmarkEnd w:id="85"/>
      <w:bookmarkStart w:id="86" w:name="_Toc27231"/>
      <w:bookmarkEnd w:id="86"/>
      <w:bookmarkStart w:id="87" w:name="_Toc5797"/>
      <w:bookmarkEnd w:id="87"/>
    </w:p>
    <w:p>
      <w:pPr>
        <w:shd w:val="clear" w:color="auto" w:fill="FFFFFF"/>
        <w:autoSpaceDE w:val="0"/>
        <w:autoSpaceDN w:val="0"/>
        <w:adjustRightInd w:val="0"/>
        <w:snapToGrid w:val="0"/>
        <w:spacing w:line="5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一、人才培养中心地位落实情况</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高度重视教学工作，牢固确立了教学观念的先导地位、教学工作的中心地位、教学质量的首要地位、教学投入的优先地位、教学改革的核心地位和教学管理的基础地位，形成了领导重视教学、政策倾斜教学、经费保障教学、管理服务教学的良好局面。</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教学工作中心地位，把教学工作列入党委和行政的重要议事日程。学校建立了党委会、校长办公会研究教学、学校领导合力推动教学的制度，做到“五个坚持”，即坚持把教学工作作为党政会议的重要议事内容；坚持实施校领导联系基层教学单位制度；坚持定期调研院部情况；坚持领导深入课堂听课；坚持领导集中考试期间进行巡考。2022—2023学年，学校党委多次召开涉及教学工作的会议。学校每两周召开一次教学工作例会，坚持每年都召开教学工作会议，已连续召开十三届，研讨教学工作中的重大问题，提出教学改革的方向与思路，明确年度教学工作的目标和任务。</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坚持深入一线，着力解决教学工作中的实际问题。各级管理干部牢固树立“一切为了教学、一切服务教学、一切服从教学” 的理念，努力为教学提供优质服务。每学期开学之初，学校党政领导，都要深入课堂检查教学工作，及时解决存在的问题。每学期的第9至12周，学校党政领导都会深入课堂，以分组听课的方式，开展期中课堂教学质量检查活动，期末考试校领导带队巡考。开展教风专项巡查工作，构建校、院、督导组三级联合巡查的机制，多维度加强教风建设。</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教学投入优先原则，经费预算确保教学日常运行支出。设立专项经费，支持学科与专业建设、人才引进与培养、课程与教材建设、教学研究与改革、实践教学、大学生创新创业实践活动，为提升教育教学质量提供经费保证。加强实践教学条件建设，为教师开展学术研究和学生实验实习等提供保障。</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二、教学管理与质量监控情况</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（一）教学管理与服务</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现有校领导7名。其中具有正高级职称4名，所占比例为57.14%，具有博士学位4名，所占比例为57.14%。校级教学管理人员15人，其中高级职称3人，所占比例为20%；硕士及以上学位9人，所占比例为60%。院（部）教学管理人员23人，其中高级职称17人，所占比例为73.91%；硕士及以上学位20人，所占比例为86.96%。教学管理人员获得省部级教学成果奖2项。</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（二）学生管理与服务</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学校有专职学生辅导员108人，其中本科生辅导员108人，按本科生数21368计算，学生与本科生辅导员的比例为198:1。</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学生辅导员中，具有高级职称的6人，所占比例为5.56%，具有中级职称的49人，所占比例为45.37%。学生辅导员中，具有研究生学历的97人，所占比例为89.81%，具有大学本科学历的11人，所占比例为10.19%。</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学校配备专职的心理咨询工作人员6名，学生与心理咨询工作人员之比为3561.33:1。</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（三）质量监控</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88" w:name="_Toc6106"/>
      <w:bookmarkEnd w:id="88"/>
      <w:bookmarkStart w:id="89" w:name="_Toc5518"/>
      <w:bookmarkEnd w:id="89"/>
      <w:bookmarkStart w:id="90" w:name="_Toc2532"/>
      <w:r>
        <w:rPr>
          <w:rFonts w:hint="eastAsia" w:ascii="宋体" w:hAnsi="宋体" w:eastAsia="宋体" w:cs="宋体"/>
          <w:color w:val="000000"/>
          <w:sz w:val="24"/>
          <w:shd w:val="clear" w:color="auto" w:fill="FFFFFF"/>
          <w:lang w:bidi="ar"/>
        </w:rPr>
        <w:t>学校有专职教学质量监控人员5人</w:t>
      </w:r>
      <w:bookmarkEnd w:id="90"/>
      <w:r>
        <w:rPr>
          <w:rFonts w:hint="eastAsia" w:ascii="宋体" w:hAnsi="宋体" w:eastAsia="宋体" w:cs="宋体"/>
          <w:color w:val="000000"/>
          <w:sz w:val="24"/>
          <w:shd w:val="clear" w:color="auto" w:fill="FFFFFF"/>
          <w:lang w:bidi="ar"/>
        </w:rPr>
        <w:t>，具有高级职称的3人，所占比例为60%，具有硕士及以上学位的5人，所占比例为100%。</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学校专兼职督导员71人，本学年内督导共听课2083学时，校领导听课72学时，中层领导干部听课968学时，本科生参与评教346684人次。</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三、教学质量保障体系建设、日常监控及运行情况</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91" w:name="_Toc26576"/>
      <w:bookmarkEnd w:id="91"/>
      <w:bookmarkStart w:id="92" w:name="_Toc1038"/>
      <w:bookmarkEnd w:id="92"/>
      <w:bookmarkStart w:id="93" w:name="_Toc19172"/>
      <w:r>
        <w:rPr>
          <w:rFonts w:hint="eastAsia" w:ascii="宋体" w:hAnsi="宋体" w:eastAsia="宋体" w:cs="宋体"/>
          <w:color w:val="000000"/>
          <w:sz w:val="24"/>
          <w:shd w:val="clear" w:color="auto" w:fill="FFFFFF"/>
          <w:lang w:bidi="ar"/>
        </w:rPr>
        <w:t>学校高度重视教学质量保障，把提高应用型人才培养质量作为学校发展的根本目标，按照《铜陵学院教学质量保障体系纲要》，不断完善教学质量保障体系，健全覆盖各教学管理环节和人才培养全过程的质量标准，构建了由教学质量标准、教学质量条件保障、教学质量监控、教学质量评估与评价、教学质量反馈和改进、教学质量组织六个子系统组成的教学质量保障体系，实现对教学全过程、全环节、全方位的质量保障。</w:t>
      </w:r>
      <w:bookmarkEnd w:id="93"/>
    </w:p>
    <w:p>
      <w:pPr>
        <w:shd w:val="clear" w:color="auto" w:fill="FFFFFF"/>
        <w:spacing w:line="400" w:lineRule="exact"/>
        <w:jc w:val="left"/>
        <w:rPr>
          <w:rFonts w:ascii="黑体" w:hAnsi="宋体" w:eastAsia="黑体" w:cs="黑体"/>
          <w:color w:val="000000"/>
          <w:sz w:val="28"/>
          <w:szCs w:val="28"/>
          <w:shd w:val="clear" w:color="auto" w:fill="FFFFFF"/>
        </w:rPr>
      </w:pPr>
      <w:bookmarkStart w:id="94" w:name="_Toc4402"/>
      <w:bookmarkEnd w:id="94"/>
      <w:bookmarkStart w:id="95" w:name="_Toc11561"/>
      <w:r>
        <w:rPr>
          <w:rFonts w:hint="eastAsia" w:ascii="黑体" w:hAnsi="宋体" w:eastAsia="黑体" w:cs="黑体"/>
          <w:color w:val="000000"/>
          <w:sz w:val="28"/>
          <w:szCs w:val="28"/>
          <w:shd w:val="clear" w:color="auto" w:fill="FFFFFF"/>
          <w:lang w:bidi="ar"/>
        </w:rPr>
        <w:t>（一）</w:t>
      </w:r>
      <w:bookmarkEnd w:id="95"/>
      <w:r>
        <w:rPr>
          <w:rFonts w:hint="eastAsia" w:ascii="黑体" w:hAnsi="宋体" w:eastAsia="黑体" w:cs="黑体"/>
          <w:color w:val="000000"/>
          <w:sz w:val="28"/>
          <w:szCs w:val="28"/>
          <w:shd w:val="clear" w:color="auto" w:fill="FFFFFF"/>
          <w:lang w:bidi="ar"/>
        </w:rPr>
        <w:t>提高管理水平，加强制度建设</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推行校、院（部）两级管理模式，充分发挥二级学院（部）在教学管理中的主动性和创造性，积极推动二级学院在教学管理、教师培训、毕业论文（设计）管理等方面进行有效探索和实践，定期组织教学管理人员和督导专家外出学习，参加教学相关会议、学术活动及专题培训，提升业务能力，强化岗位职责，进一步推进教育理念的更新和管理服务水平的提高。</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围绕人才目标定位，制定了专业建设、课程建设、课堂教学、实践教学、毕业论文（设计）、学籍学业管理、学士学位授予等系列标准，形成了比较完善的教学质量标准体系，加强课程教学、实验、实习、实训、毕业论文（设计）等主要教学环节的质量监控，并对新进教师、双肩挑教师准入制度、教师重新培训上岗制度等进一步完善。建立了校、院（部）两级督导机构，实施两级教学督导制度和校级教学督导联系学院（部）制度，认真落实《铜陵学院教学督导工作条例》。</w:t>
      </w:r>
    </w:p>
    <w:p>
      <w:pPr>
        <w:shd w:val="clear" w:color="auto" w:fill="FFFFFF"/>
        <w:spacing w:line="400" w:lineRule="exact"/>
        <w:jc w:val="left"/>
        <w:rPr>
          <w:rFonts w:ascii="Times New Roman" w:hAnsi="Times New Roman" w:eastAsia="黑体" w:cs="Times New Roman"/>
          <w:color w:val="000000"/>
          <w:sz w:val="28"/>
          <w:szCs w:val="28"/>
          <w:shd w:val="clear" w:color="auto" w:fill="FFFFFF"/>
        </w:rPr>
      </w:pPr>
      <w:bookmarkStart w:id="96" w:name="_Toc21633"/>
      <w:bookmarkEnd w:id="96"/>
      <w:bookmarkStart w:id="97" w:name="_Toc7443"/>
      <w:r>
        <w:rPr>
          <w:rFonts w:hint="eastAsia" w:ascii="黑体" w:hAnsi="宋体" w:eastAsia="黑体" w:cs="黑体"/>
          <w:color w:val="000000"/>
          <w:sz w:val="28"/>
          <w:szCs w:val="28"/>
          <w:shd w:val="clear" w:color="auto" w:fill="FFFFFF"/>
          <w:lang w:bidi="ar"/>
        </w:rPr>
        <w:t>（二）</w:t>
      </w:r>
      <w:bookmarkEnd w:id="97"/>
      <w:r>
        <w:rPr>
          <w:rFonts w:hint="eastAsia" w:ascii="黑体" w:hAnsi="宋体" w:eastAsia="黑体" w:cs="黑体"/>
          <w:color w:val="000000"/>
          <w:sz w:val="28"/>
          <w:szCs w:val="28"/>
          <w:shd w:val="clear" w:color="auto" w:fill="FFFFFF"/>
          <w:lang w:bidi="ar"/>
        </w:rPr>
        <w:t>实施常态监控，强化过程管理</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将质量监控覆盖人才培养的全过程，全面加强全校教学运行过程管理，进行常态化监控。一是加强对培养方案、课程设置、教学大纲、教学计划的制定、执行及效果的督查力度，进一步推进教学改革，提高应用型人才培养质量。二是坚持实施“三期”教学检查制度，做到期初、期中和期末教学检查有效对接。三是针对主要教学环节和关键控制点，不定期开展教案检查、实践教学检查、试卷检查、毕业论文（设计）检查等专项教学检查，并对存在的问题提出整改建议和意见，督促整改。四是实现听课制度常态化，学校领导、教学管理人员、教学督导员、教师进行定期和不定期听课，对发现的问题进行统计分析，并及时反馈、整改。五是实施教学巡查制度，组织开展对学生到课、课堂秩序、教学资源与环境保障、教师教学等情况进行巡查，并及时将发现的问题反馈到相关职能部门、落实整改。</w:t>
      </w:r>
    </w:p>
    <w:p>
      <w:pPr>
        <w:shd w:val="clear" w:color="auto" w:fill="FFFFFF"/>
        <w:spacing w:line="400" w:lineRule="exact"/>
        <w:jc w:val="left"/>
        <w:rPr>
          <w:rFonts w:ascii="黑体" w:hAnsi="宋体" w:eastAsia="黑体" w:cs="黑体"/>
          <w:color w:val="000000"/>
          <w:sz w:val="28"/>
          <w:szCs w:val="28"/>
          <w:shd w:val="clear" w:color="auto" w:fill="FFFFFF"/>
        </w:rPr>
      </w:pPr>
      <w:bookmarkStart w:id="98" w:name="_Toc9327"/>
      <w:bookmarkEnd w:id="98"/>
      <w:bookmarkStart w:id="99" w:name="_Toc1345"/>
      <w:r>
        <w:rPr>
          <w:rFonts w:hint="eastAsia" w:ascii="黑体" w:hAnsi="宋体" w:eastAsia="黑体" w:cs="黑体"/>
          <w:color w:val="000000"/>
          <w:sz w:val="28"/>
          <w:szCs w:val="28"/>
          <w:shd w:val="clear" w:color="auto" w:fill="FFFFFF"/>
          <w:lang w:bidi="ar"/>
        </w:rPr>
        <w:t>（三）重视</w:t>
      </w:r>
      <w:bookmarkEnd w:id="99"/>
      <w:r>
        <w:rPr>
          <w:rFonts w:hint="eastAsia" w:ascii="黑体" w:hAnsi="宋体" w:eastAsia="黑体" w:cs="黑体"/>
          <w:color w:val="000000"/>
          <w:sz w:val="28"/>
          <w:szCs w:val="28"/>
          <w:shd w:val="clear" w:color="auto" w:fill="FFFFFF"/>
          <w:lang w:bidi="ar"/>
        </w:rPr>
        <w:t>信息反馈，把握教学状态</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建立多渠道、多形式、多元化教学质量信息收集、分析与反馈机制。一是畅通教学质量信息收集和反馈的渠道，学校通过学生教学信息员、师生座谈会、教学督导工作信息、学生评教、同行评教、教学管理部门评教、教务系统信息平台、学生管理系统信息平台等多种渠道收集信息，并认真梳理、分析和反馈，做到了监控实时、有效。二是扎实开展年度教学基本状态数据采集工作，并对状态数据进行分析，查找问题及原因，提出解决问题的思路和对策，为学校加强和改进本科教学工作提供决策参考，充分发挥教学基本状态数据库的作用。三是多渠道进行教学信息反馈，学校通过教学工作会议、督导工作会议、专项检查反馈会、问卷调查、抽查作业、考试成绩分析、召开座谈会、听课看课等方式，及时了解掌握教学状态。四是重视立足学生发展为导向的质量监控与评价，开展了面向在校学生满意度、学习投入度调查，面向应届毕业生的教学质量评价，面向往届毕业生的教学质量反馈。五是定期发布质量报告。通过学校信息公开网，向社会公开发布《本科教学质量年度报告》《毕业生就业质量报告》，自觉接受社会监督。</w:t>
      </w:r>
    </w:p>
    <w:p>
      <w:pPr>
        <w:shd w:val="clear" w:color="auto" w:fill="FFFFFF"/>
        <w:spacing w:line="500" w:lineRule="exact"/>
        <w:jc w:val="center"/>
        <w:outlineLvl w:val="0"/>
        <w:rPr>
          <w:rFonts w:ascii="Times New Roman" w:hAnsi="Times New Roman" w:cs="Times New Roman"/>
          <w:color w:val="000000"/>
          <w:sz w:val="24"/>
          <w:shd w:val="clear" w:color="auto" w:fill="FFFFFF"/>
        </w:rPr>
      </w:pPr>
      <w:r>
        <w:rPr>
          <w:rFonts w:hint="eastAsia" w:ascii="黑体" w:hAnsi="宋体" w:eastAsia="黑体" w:cs="黑体"/>
          <w:b/>
          <w:bCs/>
          <w:color w:val="000000"/>
          <w:sz w:val="36"/>
          <w:szCs w:val="36"/>
          <w:shd w:val="clear" w:color="auto" w:fill="FFFFFF"/>
          <w:lang w:bidi="ar"/>
        </w:rPr>
        <w:t>第六部分 学生学习效果</w:t>
      </w:r>
      <w:bookmarkStart w:id="100" w:name="_Toc21407"/>
      <w:bookmarkEnd w:id="100"/>
      <w:bookmarkStart w:id="101" w:name="_Toc2364"/>
      <w:bookmarkEnd w:id="101"/>
      <w:bookmarkStart w:id="102" w:name="_Toc27938"/>
      <w:bookmarkEnd w:id="102"/>
    </w:p>
    <w:p>
      <w:pPr>
        <w:shd w:val="clear" w:color="auto" w:fill="FFFFFF"/>
        <w:spacing w:line="400" w:lineRule="exact"/>
        <w:ind w:firstLine="480" w:firstLineChars="200"/>
        <w:rPr>
          <w:rFonts w:ascii="Times New Roman" w:hAnsi="Times New Roman" w:cs="Times New Roman"/>
          <w:color w:val="000000"/>
          <w:sz w:val="24"/>
          <w:shd w:val="clear" w:color="auto" w:fill="FFFFFF"/>
        </w:rPr>
      </w:pPr>
      <w:r>
        <w:rPr>
          <w:rFonts w:hint="eastAsia" w:ascii="宋体" w:hAnsi="宋体" w:eastAsia="宋体" w:cs="宋体"/>
          <w:color w:val="000000"/>
          <w:sz w:val="24"/>
          <w:shd w:val="clear" w:color="auto" w:fill="FFFFFF"/>
          <w:lang w:bidi="ar"/>
        </w:rPr>
        <w:t>学校高度重视提升教育教学质量，提高学生的学习效果和人才培养质量，不断提高学生、社会、用人单位、政府对教学质量的满意度。</w:t>
      </w:r>
      <w:r>
        <w:rPr>
          <w:rFonts w:ascii="Times New Roman" w:hAnsi="Times New Roman" w:cs="Times New Roman"/>
          <w:color w:val="000000"/>
          <w:sz w:val="24"/>
          <w:shd w:val="clear" w:color="auto" w:fill="FFFFFF"/>
          <w:lang w:bidi="ar"/>
        </w:rPr>
        <w:t xml:space="preserve"> </w:t>
      </w:r>
    </w:p>
    <w:p>
      <w:pPr>
        <w:shd w:val="clear" w:color="auto" w:fill="FFFFFF"/>
        <w:autoSpaceDE w:val="0"/>
        <w:autoSpaceDN w:val="0"/>
        <w:adjustRightInd w:val="0"/>
        <w:snapToGrid w:val="0"/>
        <w:spacing w:line="400" w:lineRule="exact"/>
        <w:rPr>
          <w:rFonts w:ascii="黑体" w:hAnsi="宋体" w:eastAsia="黑体" w:cs="黑体"/>
          <w:color w:val="000000"/>
          <w:sz w:val="30"/>
          <w:szCs w:val="30"/>
          <w:shd w:val="clear" w:color="auto" w:fill="FFFFFF"/>
        </w:rPr>
      </w:pPr>
      <w:bookmarkStart w:id="103" w:name="_Toc24159"/>
      <w:bookmarkEnd w:id="103"/>
      <w:bookmarkStart w:id="104" w:name="_Toc10714"/>
      <w:bookmarkEnd w:id="104"/>
      <w:bookmarkStart w:id="105" w:name="_Toc28832"/>
      <w:r>
        <w:rPr>
          <w:rFonts w:hint="eastAsia" w:ascii="黑体" w:hAnsi="宋体" w:eastAsia="黑体" w:cs="黑体"/>
          <w:color w:val="000000"/>
          <w:sz w:val="30"/>
          <w:szCs w:val="30"/>
          <w:shd w:val="clear" w:color="auto" w:fill="FFFFFF"/>
          <w:lang w:bidi="ar"/>
        </w:rPr>
        <w:t>一、毕业与就业</w:t>
      </w:r>
      <w:bookmarkEnd w:id="105"/>
      <w:bookmarkStart w:id="106" w:name="_Toc15577"/>
      <w:bookmarkEnd w:id="106"/>
      <w:bookmarkStart w:id="107" w:name="_Toc17949"/>
      <w:bookmarkEnd w:id="107"/>
      <w:bookmarkStart w:id="108" w:name="_Toc26544"/>
      <w:bookmarkEnd w:id="108"/>
    </w:p>
    <w:p>
      <w:pPr>
        <w:shd w:val="clear" w:color="auto" w:fill="FFFFFF"/>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2023年共有本科毕业生5798人，实际毕业人数5689人，毕业率为98.12%，</w:t>
      </w:r>
    </w:p>
    <w:p>
      <w:pPr>
        <w:shd w:val="clear" w:color="auto" w:fill="FFFFFF"/>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学位授予率为99.16%。</w:t>
      </w:r>
    </w:p>
    <w:p>
      <w:pPr>
        <w:shd w:val="clear" w:color="auto" w:fill="FFFFFF"/>
        <w:spacing w:line="400" w:lineRule="exact"/>
        <w:jc w:val="left"/>
        <w:rPr>
          <w:rFonts w:ascii="Times New Roman" w:hAnsi="Times New Roman" w:eastAsia="黑体" w:cs="Times New Roman"/>
          <w:color w:val="000000"/>
          <w:sz w:val="28"/>
          <w:szCs w:val="28"/>
          <w:shd w:val="clear" w:color="auto" w:fill="FFFFFF"/>
        </w:rPr>
      </w:pPr>
      <w:r>
        <w:rPr>
          <w:rFonts w:hint="eastAsia" w:ascii="黑体" w:hAnsi="宋体" w:eastAsia="黑体" w:cs="黑体"/>
          <w:color w:val="000000"/>
          <w:sz w:val="28"/>
          <w:szCs w:val="28"/>
          <w:shd w:val="clear" w:color="auto" w:fill="FFFFFF"/>
          <w:lang w:bidi="ar"/>
        </w:rPr>
        <w:t>（一）就业及攻读研究生情况</w:t>
      </w:r>
    </w:p>
    <w:p>
      <w:pPr>
        <w:shd w:val="clear" w:color="auto" w:fill="FFFFFF"/>
        <w:ind w:firstLine="480" w:firstLineChars="200"/>
        <w:outlineLvl w:val="0"/>
        <w:rPr>
          <w:rFonts w:ascii="Times New Roman" w:hAnsi="Times New Roman" w:cs="Times New Roman"/>
          <w:color w:val="000000"/>
          <w:szCs w:val="21"/>
          <w:shd w:val="clear" w:color="auto" w:fill="FFFFFF"/>
        </w:rPr>
      </w:pPr>
      <w:bookmarkStart w:id="109" w:name="_Toc10393"/>
      <w:bookmarkEnd w:id="109"/>
      <w:r>
        <w:rPr>
          <w:rFonts w:hint="eastAsia" w:ascii="宋体" w:hAnsi="宋体" w:eastAsia="宋体" w:cs="宋体"/>
          <w:color w:val="000000"/>
          <w:sz w:val="24"/>
          <w:shd w:val="clear" w:color="auto" w:fill="FFFFFF"/>
          <w:lang w:bidi="ar"/>
        </w:rPr>
        <w:t>截至2023年8月31日，学校应届本科毕业生总体就业率达93.29%。毕业生最主要的毕业去向是企业，占85.13%。升学482人，占8.47%，其中出国（境）留学15人，占0.28%。</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（二）转专业与辅修情况</w:t>
      </w:r>
    </w:p>
    <w:p>
      <w:pPr>
        <w:shd w:val="clear" w:color="auto" w:fill="FFFFFF"/>
        <w:spacing w:line="400" w:lineRule="exact"/>
        <w:ind w:firstLine="480" w:firstLineChars="200"/>
        <w:jc w:val="left"/>
        <w:rPr>
          <w:rFonts w:ascii="黑体" w:hAnsi="宋体" w:eastAsia="黑体" w:cs="黑体"/>
          <w:color w:val="000000"/>
          <w:sz w:val="30"/>
          <w:szCs w:val="30"/>
          <w:shd w:val="clear" w:color="auto" w:fill="FFFFFF"/>
        </w:rPr>
      </w:pPr>
      <w:r>
        <w:rPr>
          <w:rFonts w:hint="eastAsia" w:ascii="宋体" w:hAnsi="宋体" w:eastAsia="宋体" w:cs="宋体"/>
          <w:color w:val="000000"/>
          <w:sz w:val="24"/>
          <w:shd w:val="clear" w:color="auto" w:fill="FFFFFF"/>
          <w:lang w:bidi="ar"/>
        </w:rPr>
        <w:t>本学年，转专业学生690名，占全日制在校本科生数比例为3.23%。</w:t>
      </w:r>
    </w:p>
    <w:p>
      <w:pPr>
        <w:shd w:val="clear" w:color="auto" w:fill="FFFFFF"/>
        <w:spacing w:line="400" w:lineRule="exact"/>
        <w:jc w:val="lef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二、学生获奖情况</w:t>
      </w:r>
      <w:r>
        <w:rPr>
          <w:rFonts w:hint="eastAsia" w:ascii="宋体" w:hAnsi="宋体" w:eastAsia="宋体" w:cs="宋体"/>
          <w:color w:val="000000"/>
          <w:sz w:val="30"/>
          <w:szCs w:val="30"/>
          <w:shd w:val="clear" w:color="auto" w:fill="FFFFFF"/>
          <w:lang w:bidi="ar"/>
        </w:rPr>
        <w:t xml:space="preserve">  </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bookmarkStart w:id="110" w:name="_Toc25386"/>
      <w:bookmarkEnd w:id="110"/>
      <w:bookmarkStart w:id="111" w:name="_Toc32198"/>
      <w:r>
        <w:rPr>
          <w:rFonts w:hint="eastAsia" w:ascii="宋体" w:hAnsi="宋体" w:eastAsia="宋体" w:cs="宋体"/>
          <w:color w:val="000000"/>
          <w:sz w:val="24"/>
          <w:shd w:val="clear" w:color="auto" w:fill="FFFFFF"/>
          <w:lang w:bidi="ar"/>
        </w:rPr>
        <w:t>学校坚持“以赛促学、以赛促练、以赛促教、以赛促改”，将学科技能竞赛与常规教学环节相结合，深化课程体系和教学内容改革，着力培养大学生的创新精神和创新能力。设立大学生基本技能竞赛项目、省级学科竞赛选拔赛项目和专业自选竞赛项目，积极开展大学生专业素质能力竞赛活动，尝试全新的线上竞赛模式。各专业根据专业特点和需要，有序推进学生线上竞赛培训、选拔，组织学生远程参加国家或省级竞赛项目：第九届安徽省“互联网+”大学生创新创业大赛、2023年中国大学生计算机设计大赛、2023安徽省大学生金相技能大赛等。</w:t>
      </w:r>
      <w:bookmarkEnd w:id="111"/>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2023年，学校在第九届安徽省“互联网+”大学生创新创业大赛中共获得安徽省银奖11项，铜奖25项。在第十五届全国大学生广告艺术大赛全国总决赛中，学校文艺学院学生作品从93余万件作品中脱颖而出，获全国一等奖2项、二等奖3项、三等奖4项。在第十届“挑战杯”安徽省大学生创业计划竞赛中，喜获4项银奖、11项铜奖。在2023年6月9日，学校成功举办2023年安徽省大学生金相技能大赛，并获一等奖3人、二等奖2人，三等奖1人。2023年，学校学生在各级各类学科和技能竞赛中取得了优异成绩，获得省级以上学科竞赛奖项达1424多项，其中国家级奖项144项，具体情况见表8。</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表8  学生获奖情况</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2"/>
        <w:gridCol w:w="3189"/>
        <w:gridCol w:w="3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hint="eastAsia" w:ascii="宋体" w:hAnsi="宋体" w:eastAsia="宋体" w:cs="宋体"/>
                <w:b/>
                <w:color w:val="000000"/>
                <w:szCs w:val="21"/>
                <w:shd w:val="clear" w:color="auto" w:fill="FFFFFF"/>
                <w:lang w:bidi="ar"/>
              </w:rPr>
              <w:t>项目</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hint="eastAsia" w:ascii="宋体" w:hAnsi="宋体" w:eastAsia="宋体" w:cs="宋体"/>
                <w:b/>
                <w:color w:val="000000"/>
                <w:szCs w:val="21"/>
                <w:shd w:val="clear" w:color="auto" w:fill="FFFFFF"/>
                <w:lang w:bidi="ar"/>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restart"/>
            <w:tcBorders>
              <w:top w:val="nil"/>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1.学科竞赛获奖（项）</w:t>
            </w: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总数</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1424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其中：国际级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国家级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宋体" w:hAnsi="宋体" w:eastAsia="宋体" w:cs="宋体"/>
                <w:color w:val="000000"/>
                <w:szCs w:val="21"/>
                <w:shd w:val="clear" w:color="auto" w:fill="FFFFFF"/>
              </w:rPr>
            </w:pPr>
            <w:r>
              <w:rPr>
                <w:rFonts w:ascii="Times New Roman" w:hAnsi="Times New Roman" w:eastAsia="宋体" w:cs="Times New Roman"/>
                <w:color w:val="000000"/>
                <w:szCs w:val="21"/>
                <w:shd w:val="clear" w:color="auto" w:fill="FFFFFF"/>
                <w:lang w:bidi="ar"/>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省部级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1280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restart"/>
            <w:tcBorders>
              <w:top w:val="nil"/>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2.文艺、体育竞赛获奖（项）</w:t>
            </w: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总数</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其中：国际级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国家级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省部级</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3.学生发表学术论文（篇）</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4.学生发表作品数（篇、册）</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eastAsia="宋体" w:cs="宋体"/>
                <w:color w:val="000000"/>
                <w:szCs w:val="21"/>
                <w:shd w:val="clear" w:color="auto" w:fill="FFFFFF"/>
              </w:rPr>
            </w:pPr>
            <w:r>
              <w:rPr>
                <w:rFonts w:ascii="Times New Roman" w:hAnsi="Times New Roman" w:eastAsia="宋体" w:cs="Times New Roman"/>
                <w:color w:val="000000"/>
                <w:szCs w:val="21"/>
                <w:shd w:val="clear" w:color="auto" w:fill="FFFFFF"/>
                <w:lang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5.学生获准专利（著作权）数（项）</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eastAsia="宋体" w:cs="宋体"/>
                <w:color w:val="000000"/>
                <w:szCs w:val="21"/>
                <w:shd w:val="clear" w:color="auto" w:fill="FFFFFF"/>
              </w:rPr>
            </w:pPr>
            <w:r>
              <w:rPr>
                <w:rFonts w:ascii="Times New Roman" w:hAnsi="Times New Roman" w:eastAsia="宋体" w:cs="Times New Roman"/>
                <w:color w:val="000000"/>
                <w:szCs w:val="21"/>
                <w:shd w:val="clear" w:color="auto" w:fill="FFFFFF"/>
                <w:lang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restart"/>
            <w:tcBorders>
              <w:top w:val="nil"/>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6.英语等级考试</w:t>
            </w: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英语四级考试累计通过率（%）</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942" w:type="dxa"/>
            <w:vMerge w:val="continue"/>
            <w:tcBorders>
              <w:top w:val="nil"/>
              <w:left w:val="single" w:color="000000" w:sz="4" w:space="0"/>
              <w:bottom w:val="single" w:color="000000" w:sz="4" w:space="0"/>
              <w:right w:val="single" w:color="000000" w:sz="4" w:space="0"/>
            </w:tcBorders>
            <w:shd w:val="clear" w:color="auto" w:fill="FFFFFF"/>
            <w:vAlign w:val="center"/>
          </w:tcPr>
          <w:p>
            <w:pPr>
              <w:rPr>
                <w:rFonts w:ascii="Calibri" w:hAnsi="Calibri" w:cs="Times New Roman"/>
                <w:szCs w:val="21"/>
              </w:rPr>
            </w:pPr>
          </w:p>
        </w:tc>
        <w:tc>
          <w:tcPr>
            <w:tcW w:w="31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英语六级考试累计通过率（%）</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bCs/>
                <w:color w:val="000000"/>
                <w:szCs w:val="21"/>
                <w:shd w:val="clear" w:color="auto" w:fill="FFFFFF"/>
              </w:rPr>
            </w:pPr>
            <w:r>
              <w:rPr>
                <w:rFonts w:hint="eastAsia" w:ascii="宋体" w:hAnsi="宋体" w:eastAsia="宋体" w:cs="宋体"/>
                <w:bCs/>
                <w:color w:val="000000"/>
                <w:szCs w:val="21"/>
                <w:shd w:val="clear" w:color="auto" w:fill="FFFFFF"/>
                <w:lang w:bidi="ar"/>
              </w:rPr>
              <w:t>7.参加国际会议（人次）</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eastAsia="宋体" w:cs="宋体"/>
                <w:color w:val="000000"/>
                <w:szCs w:val="21"/>
                <w:shd w:val="clear" w:color="auto" w:fill="FFFFFF"/>
              </w:rPr>
            </w:pPr>
            <w:r>
              <w:rPr>
                <w:rFonts w:ascii="Times New Roman" w:hAnsi="Times New Roman" w:eastAsia="宋体" w:cs="Times New Roman"/>
                <w:color w:val="000000"/>
                <w:szCs w:val="21"/>
                <w:shd w:val="clear" w:color="auto" w:fill="FFFFFF"/>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51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adjustRightInd w:val="0"/>
              <w:snapToGrid w:val="0"/>
              <w:jc w:val="center"/>
              <w:rPr>
                <w:rFonts w:ascii="宋体" w:hAnsi="宋体" w:eastAsia="宋体" w:cs="宋体"/>
                <w:bCs/>
                <w:color w:val="000000"/>
                <w:szCs w:val="21"/>
                <w:shd w:val="clear" w:color="auto" w:fill="FFFFFF"/>
              </w:rPr>
            </w:pPr>
            <w:r>
              <w:rPr>
                <w:rFonts w:hint="eastAsia" w:ascii="宋体" w:hAnsi="宋体" w:eastAsia="宋体" w:cs="宋体"/>
                <w:bCs/>
                <w:color w:val="000000"/>
                <w:szCs w:val="21"/>
                <w:shd w:val="clear" w:color="auto" w:fill="FFFFFF"/>
                <w:lang w:bidi="ar"/>
              </w:rPr>
              <w:t>8.获得职业资格证书总数（人次）</w:t>
            </w:r>
          </w:p>
        </w:tc>
        <w:tc>
          <w:tcPr>
            <w:tcW w:w="31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hd w:val="clear" w:color="auto" w:fill="FFFFFF"/>
              <w:spacing w:line="400" w:lineRule="exact"/>
              <w:jc w:val="center"/>
              <w:rPr>
                <w:rFonts w:ascii="Times New Roman" w:hAnsi="Times New Roman" w:cs="Times New Roman"/>
                <w:color w:val="000000"/>
                <w:szCs w:val="21"/>
                <w:shd w:val="clear" w:color="auto" w:fill="FFFFFF"/>
              </w:rPr>
            </w:pPr>
            <w:r>
              <w:rPr>
                <w:rFonts w:ascii="Times New Roman" w:hAnsi="Times New Roman" w:eastAsia="宋体" w:cs="Times New Roman"/>
                <w:color w:val="000000"/>
                <w:szCs w:val="21"/>
                <w:shd w:val="clear" w:color="auto" w:fill="FFFFFF"/>
                <w:lang w:bidi="ar"/>
              </w:rPr>
              <w:t>579</w:t>
            </w:r>
          </w:p>
        </w:tc>
      </w:tr>
    </w:tbl>
    <w:p>
      <w:pPr>
        <w:shd w:val="clear" w:color="auto" w:fill="FFFFFF"/>
        <w:spacing w:line="400" w:lineRule="exact"/>
        <w:jc w:val="left"/>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三、学生其他学习成效情况</w:t>
      </w:r>
      <w:bookmarkStart w:id="112" w:name="_Toc24621"/>
      <w:bookmarkEnd w:id="112"/>
      <w:bookmarkStart w:id="113" w:name="_Toc31454"/>
      <w:bookmarkEnd w:id="113"/>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2022-2023学年，学生共公开发表论文58篇，学生获准专利（著作权）8项，大学英语四级累计通过率67.6%，大学英语六级累计通过率27.3%，体质测试合格率87.89%。</w:t>
      </w:r>
      <w:bookmarkStart w:id="114" w:name="_Toc20172"/>
      <w:bookmarkEnd w:id="114"/>
      <w:bookmarkStart w:id="115" w:name="_Toc22045"/>
      <w:bookmarkEnd w:id="115"/>
      <w:bookmarkStart w:id="116" w:name="_Toc15648"/>
      <w:bookmarkEnd w:id="116"/>
    </w:p>
    <w:p>
      <w:pPr>
        <w:shd w:val="clear" w:color="auto" w:fill="FFFFFF"/>
        <w:spacing w:line="400" w:lineRule="exact"/>
        <w:jc w:val="left"/>
        <w:rPr>
          <w:rFonts w:ascii="黑体" w:hAnsi="宋体" w:eastAsia="黑体" w:cs="黑体"/>
          <w:color w:val="000000"/>
          <w:sz w:val="30"/>
          <w:szCs w:val="30"/>
          <w:shd w:val="clear" w:color="auto" w:fill="FFFFFF"/>
        </w:rPr>
      </w:pPr>
      <w:r>
        <w:rPr>
          <w:rFonts w:hint="eastAsia" w:ascii="黑体" w:hAnsi="宋体" w:eastAsia="黑体" w:cs="黑体"/>
          <w:color w:val="000000"/>
          <w:sz w:val="30"/>
          <w:szCs w:val="30"/>
          <w:shd w:val="clear" w:color="auto" w:fill="FFFFFF"/>
          <w:lang w:bidi="ar"/>
        </w:rPr>
        <w:t>四、师生满意度调查结果分析</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为了全面了解学校教学工作服务质量以及学生的学习状况，及时发现和解决教师教学和学生学习过程中普遍存在的问题，不断加强教学质量监控，改进教学管理，促进优良学风建设，进一步提高教学服务水平，确保人才培养质量，我校教务处于2022-2023第一学期进行了全校师生有关学校教育教学方面的满意度调查。现对于调查结果进行如下分析：</w:t>
      </w:r>
    </w:p>
    <w:p>
      <w:pPr>
        <w:shd w:val="clear" w:color="auto" w:fill="FFFFFF"/>
        <w:spacing w:line="400" w:lineRule="exact"/>
        <w:jc w:val="left"/>
        <w:rPr>
          <w:rFonts w:ascii="黑体" w:hAnsi="宋体" w:eastAsia="黑体" w:cs="黑体"/>
          <w:color w:val="000000"/>
          <w:sz w:val="28"/>
          <w:szCs w:val="28"/>
          <w:shd w:val="clear" w:color="auto" w:fill="FFFFFF"/>
        </w:rPr>
      </w:pPr>
      <w:bookmarkStart w:id="117" w:name="_Toc24166"/>
      <w:bookmarkEnd w:id="117"/>
      <w:bookmarkStart w:id="118" w:name="_Toc31676"/>
      <w:r>
        <w:rPr>
          <w:rFonts w:hint="eastAsia" w:ascii="黑体" w:hAnsi="宋体" w:eastAsia="黑体" w:cs="黑体"/>
          <w:color w:val="000000"/>
          <w:sz w:val="28"/>
          <w:szCs w:val="28"/>
          <w:shd w:val="clear" w:color="auto" w:fill="FFFFFF"/>
          <w:lang w:bidi="ar"/>
        </w:rPr>
        <w:t>（一）学生</w:t>
      </w:r>
      <w:bookmarkEnd w:id="118"/>
      <w:r>
        <w:rPr>
          <w:rFonts w:hint="eastAsia" w:ascii="黑体" w:hAnsi="宋体" w:eastAsia="黑体" w:cs="黑体"/>
          <w:color w:val="000000"/>
          <w:sz w:val="28"/>
          <w:szCs w:val="28"/>
          <w:shd w:val="clear" w:color="auto" w:fill="FFFFFF"/>
          <w:lang w:bidi="ar"/>
        </w:rPr>
        <w:t>对教学工作满意度调查结果分析</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 xml:space="preserve">表9 </w:t>
      </w:r>
      <w:bookmarkStart w:id="119" w:name="_Toc19056"/>
      <w:r>
        <w:rPr>
          <w:rFonts w:hint="eastAsia" w:ascii="宋体" w:hAnsi="宋体" w:eastAsia="宋体" w:cs="宋体"/>
          <w:b/>
          <w:bCs/>
          <w:color w:val="000000"/>
          <w:szCs w:val="21"/>
          <w:shd w:val="clear" w:color="auto" w:fill="FFFFFF"/>
          <w:lang w:bidi="ar"/>
        </w:rPr>
        <w:t>文法（财经）类专业学生反馈统计</w:t>
      </w:r>
      <w:bookmarkEnd w:id="119"/>
    </w:p>
    <w:tbl>
      <w:tblPr>
        <w:tblStyle w:val="9"/>
        <w:tblW w:w="832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4"/>
        <w:gridCol w:w="785"/>
        <w:gridCol w:w="845"/>
        <w:gridCol w:w="757"/>
        <w:gridCol w:w="834"/>
        <w:gridCol w:w="757"/>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文法财经类反馈情况6313份(51.91%)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满意</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百分比（%）</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基本满意</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百分比（%）</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不满意</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学校的社会影响力情况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2967</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3042</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48.19</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304</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学校的招生宣传、入学教育等工作情况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3175</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50.29</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2995</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47.44</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143</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所学专业的实验、实习、实训等实践教学情况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3101</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49.12</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2965</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46.97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247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选用的教材满足专业培养需要程度情况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3122</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49.45</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2923</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46.3</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268</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学校的学风建设情况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3215</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50.93</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2858</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45.27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240</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学校的考风考纪总体情况</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3328</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52.72</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2758</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43.69</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227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学校在促进学生综合素质发展方面的工作情况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3272</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51.83</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2814</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44.57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227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教师有效管理课堂情况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3420</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54.17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2696</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42.71</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197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教师的职业素养情况</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3604</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57.09</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2497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39.55</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212</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教师运用信息化教学手段进行智慧教学的情况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3525</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55.84</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2599</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41.17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189</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教师教学思政元素渗入情况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3543</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56.12</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2573</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40.76</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197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本专业教学中注重激发学生创新意识和能力情况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3371</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53.4</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2746</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43.5</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196</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学校管理人员的服务意识和基本素质情况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3428</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54.3</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2656</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42.07</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229</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学校的规章制度、办事流程等管理情况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3307</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52.38</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2727</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43.2</w:t>
            </w:r>
          </w:p>
        </w:tc>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279</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lang w:bidi="ar"/>
              </w:rPr>
              <w:t>校内设施及校园文化建设等情况</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3292</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52.15</w:t>
            </w:r>
          </w:p>
        </w:tc>
        <w:tc>
          <w:tcPr>
            <w:tcW w:w="75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2717</w:t>
            </w:r>
          </w:p>
        </w:tc>
        <w:tc>
          <w:tcPr>
            <w:tcW w:w="8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43.04</w:t>
            </w:r>
          </w:p>
        </w:tc>
        <w:tc>
          <w:tcPr>
            <w:tcW w:w="75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304</w:t>
            </w:r>
          </w:p>
        </w:tc>
        <w:tc>
          <w:tcPr>
            <w:tcW w:w="8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lang w:bidi="ar"/>
              </w:rPr>
              <w:t>4.82</w:t>
            </w:r>
          </w:p>
        </w:tc>
      </w:tr>
    </w:tbl>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文法（财经）类专业6017名学生参与调查，对学校教学工作总体满意、基本满意率为96.34%，不满意率为3.65%。根据统计结果我们可以了解到：文法（财经）类专业学生对我校教师的职业素养情况、教师教学思政元素渗入情况和教师运用信息化教学手段进行智慧教学的情况满意率较高，满意率为57.09%、56.12%和55.84%。</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表10 理工类专业学生反馈统计</w:t>
      </w:r>
    </w:p>
    <w:tbl>
      <w:tblPr>
        <w:tblStyle w:val="9"/>
        <w:tblW w:w="8299"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4"/>
        <w:gridCol w:w="770"/>
        <w:gridCol w:w="815"/>
        <w:gridCol w:w="785"/>
        <w:gridCol w:w="830"/>
        <w:gridCol w:w="770"/>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理工类反馈情况5211份(42.85%)</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满意</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基本满意</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不满意</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学校的社会影响力情况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2853</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54.75</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2150</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41.26</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学校的招生宣传、入学教育等工作情况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2997</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57.51</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2093</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40.17</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121</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所学专业的实验、实习、实训等实践教学情况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2852</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54.73</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2186</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41.95</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选用的教材满足专业培养需要程度情况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2839</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54.48</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2202</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42.26</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学校的学风建设情况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2916</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55.96</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2120</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40.68</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学校的考风考纪总体情况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3026</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58.07</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1998</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38.34</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学校在促进学生综合素质发展方面的工作情况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2981</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57.21</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2070</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39.72</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教师有效管理课堂情况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3062</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58.76</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1997</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38.32</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152</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教师的职业素养情况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3198</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61.37</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1867</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35.83</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教师运用信息化教学手段进行智慧教学的情况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3142</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60.3</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1936</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37.15</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教师教学思政元素渗入情况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3162</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60.68</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1915</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36.75</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134</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本专业教学中注重激发学生创新意识和能力情况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3053</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58.59</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1990</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38.19</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168</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学校管理人员的服务意识和基本素质情况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3084</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59.18</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1967</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37.75</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学校的规章制度、办事流程等管理情况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3031</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58.17</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1964</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37.69</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校内设施及校园文化建设等情况</w:t>
            </w:r>
          </w:p>
        </w:tc>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3004</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57.65</w:t>
            </w:r>
          </w:p>
        </w:tc>
        <w:tc>
          <w:tcPr>
            <w:tcW w:w="78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1934</w:t>
            </w:r>
          </w:p>
        </w:tc>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37.11</w:t>
            </w:r>
          </w:p>
        </w:tc>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5.24</w:t>
            </w:r>
          </w:p>
        </w:tc>
      </w:tr>
    </w:tbl>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理工类专业5211名学生参与调查，对学校教学工作总体满意、基本满意率为96.70%，不满意率为3.29%。根据统计结果我们可以了解到：理工类专业学生对我校教师的职业素养情况、教师教学思政元素渗入情况和教师运用信息化教学手段进行智慧教学的情况满意率较高，满意率为61.37%、60.68%和60.30%。</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表11艺术类专业学生反馈统计</w:t>
      </w:r>
    </w:p>
    <w:tbl>
      <w:tblPr>
        <w:tblStyle w:val="9"/>
        <w:tblW w:w="8285"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755"/>
        <w:gridCol w:w="815"/>
        <w:gridCol w:w="800"/>
        <w:gridCol w:w="815"/>
        <w:gridCol w:w="755"/>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艺术类反馈情况636份(5.23%)</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满意</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基本满意</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不满意</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学校的社会影响力情况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350</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55.03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269</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42.3</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学校的招生宣传、入学教育等工作情况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352</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55.35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268</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42.14</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所学专业的实验、实习、实训等实践教学情况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336</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52.83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44.81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选用的教材满足专业培养需要程度情况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335</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52.67</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43.55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学校的学风建设情况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345</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54.25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271</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42.61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学校的考风考纪总体情况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371</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58.33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39.31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学校在促进学生综合素质发展方面的工作情况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358</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56.29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258</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40.57</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教师有效管理课堂情况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371</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58.33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39.31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教师的职业素养情况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377</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38.21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教师运用信息化教学手段进行智慧教学的情况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380</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59.75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239</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37.58</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教师教学思政元素渗入情况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377</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38.21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本专业教学中注重激发学生创新意识和能力情况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380</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59.75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37.26</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学校管理人员的服务意识和基本素质情况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376</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59.12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243</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38.21</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学校的规章制度、办事流程等管理情况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371</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58.33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245</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38.52</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校内设施及校园文化建设等情况</w:t>
            </w:r>
          </w:p>
        </w:tc>
        <w:tc>
          <w:tcPr>
            <w:tcW w:w="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363</w:t>
            </w:r>
          </w:p>
        </w:tc>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Cs w:val="21"/>
                <w:lang w:bidi="ar"/>
              </w:rPr>
              <w:t>57.08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246</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38.68</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4.25</w:t>
            </w:r>
          </w:p>
        </w:tc>
      </w:tr>
    </w:tbl>
    <w:p>
      <w:pPr>
        <w:spacing w:line="400" w:lineRule="exact"/>
        <w:ind w:firstLine="480" w:firstLineChars="200"/>
        <w:outlineLvl w:val="0"/>
        <w:rPr>
          <w:rFonts w:ascii="黑体" w:hAnsi="宋体" w:eastAsia="黑体" w:cs="黑体"/>
          <w:sz w:val="28"/>
          <w:szCs w:val="28"/>
          <w:shd w:val="clear" w:color="auto" w:fill="FFFFFF"/>
        </w:rPr>
      </w:pPr>
      <w:r>
        <w:rPr>
          <w:rFonts w:hint="eastAsia" w:ascii="宋体" w:hAnsi="宋体" w:eastAsia="宋体" w:cs="宋体"/>
          <w:color w:val="000000"/>
          <w:sz w:val="24"/>
          <w:shd w:val="clear" w:color="auto" w:fill="FFFFFF"/>
          <w:lang w:bidi="ar"/>
        </w:rPr>
        <w:t>艺术类专业636名学生参与调查，对学校教学工作总体满意、基本满意率为97.12%，不满意率为2.87%。根据统计结果我们可以了解到：艺术类专业学生对我校教师运用信息化教学手段进行智慧教学的情况、本专业教学中注重激发学生创新意识和能力情况和教师的职业素养情况满意率较高，满意率为59.75%、59.75%和59.28%。</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（二）教师对教学工作满意度调查结果分析</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表12 40周岁以下教职工反馈情况统计</w:t>
      </w:r>
    </w:p>
    <w:tbl>
      <w:tblPr>
        <w:tblStyle w:val="9"/>
        <w:tblW w:w="843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6"/>
        <w:gridCol w:w="800"/>
        <w:gridCol w:w="821"/>
        <w:gridCol w:w="1083"/>
        <w:gridCol w:w="780"/>
        <w:gridCol w:w="853"/>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23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ascii="宋体" w:hAnsi="宋体" w:eastAsia="宋体" w:cs="宋体"/>
                <w:color w:val="000000"/>
                <w:sz w:val="22"/>
                <w:szCs w:val="22"/>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lang w:bidi="ar"/>
              </w:rPr>
              <w:t>基本</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不满意</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您对学校应用型人才培养定位情况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215</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70.72</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87</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28.62</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您对学校学科专业布局、适应地方经济发展需求情况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196</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64.47</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32.89</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您对学校的专业建设情况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186</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61.79</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108</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35.88</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您对学校各专业课程体系设置和课程思政融入情况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66.45</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31.58</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您对学校教材建设和选用情况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206</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68.44</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您对学校环境以及教学基础设施等情况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191</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63.04</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102</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33.66</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您对学校实践教学的条件及时间安排等情况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66.45</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29.61</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您对学校的教学管理（规章制度、学风以及考风考纪）等建设情况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202</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66.67</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96</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31.68</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您对学校各级教学管理人员服务意识和基本素质情况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204</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67.11</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92</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30.26</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您对学校教师的整体教学态度与水平情况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221</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73.18</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24.83</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您对学校近年来的师资队伍建设情况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212</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69.51</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85</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27.87</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您对校园文化建设与师德建设情况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220</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67.9</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30.56</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您对学校教学质量监控体系情况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219</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72.04</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83</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27.3</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您对学校关于教师的考核评价方式情况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63.49</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32.57</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您对您的工作环境与条件情况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196</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64.9</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32.45</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您与学生之间的关系情况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249</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82.18</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17.16</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您对学校大学生创新创业教学情况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207</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68.09</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92</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30.26</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您对学校大学生社会责任担当情况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206</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68.67</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86</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28.67</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您与同事之间的关系情况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251</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82.57</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17.11</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您对学校的发展前景情况</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71</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83</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27.67</w:t>
            </w:r>
          </w:p>
        </w:tc>
        <w:tc>
          <w:tcPr>
            <w:tcW w:w="8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1.33</w:t>
            </w:r>
          </w:p>
        </w:tc>
      </w:tr>
    </w:tbl>
    <w:p>
      <w:pPr>
        <w:shd w:val="clear" w:color="auto" w:fill="FFFFFF"/>
        <w:spacing w:line="400" w:lineRule="exact"/>
        <w:ind w:firstLine="480" w:firstLineChars="200"/>
        <w:outlineLvl w:val="0"/>
        <w:rPr>
          <w:rFonts w:ascii="宋体" w:hAnsi="宋体" w:eastAsia="宋体" w:cs="宋体"/>
          <w:sz w:val="24"/>
          <w:shd w:val="clear" w:color="auto" w:fill="FFFFFF"/>
        </w:rPr>
      </w:pPr>
      <w:r>
        <w:rPr>
          <w:rFonts w:hint="eastAsia" w:ascii="宋体" w:hAnsi="宋体" w:eastAsia="宋体" w:cs="宋体"/>
          <w:sz w:val="24"/>
          <w:shd w:val="clear" w:color="auto" w:fill="FFFFFF"/>
          <w:lang w:bidi="ar"/>
        </w:rPr>
        <w:t>40周岁以下教职工参与问卷调查反馈共计304名，对学校教学工作总体满意、基本满意率为97.96%，不满意率为2.04%，根据统计结果我们可以了解到：40周岁以下教职工对学校教师的整体教学态度与水平情况、与学生之间的关系情况、与同事之间的关系情况满意度较高，满意率为73.18%、82.18%、82.57%。</w:t>
      </w:r>
    </w:p>
    <w:p>
      <w:pPr>
        <w:shd w:val="clear" w:color="auto" w:fill="FFFFFF"/>
        <w:spacing w:line="400" w:lineRule="exact"/>
        <w:jc w:val="center"/>
        <w:outlineLvl w:val="0"/>
        <w:rPr>
          <w:rFonts w:ascii="宋体" w:hAnsi="宋体" w:eastAsia="宋体" w:cs="宋体"/>
          <w:color w:val="000000"/>
          <w:sz w:val="24"/>
          <w:shd w:val="clear" w:color="auto" w:fill="FFFFFF"/>
        </w:rPr>
      </w:pPr>
      <w:r>
        <w:rPr>
          <w:rFonts w:hint="eastAsia" w:ascii="宋体" w:hAnsi="宋体" w:eastAsia="宋体" w:cs="宋体"/>
          <w:b/>
          <w:bCs/>
          <w:color w:val="000000"/>
          <w:szCs w:val="21"/>
          <w:shd w:val="clear" w:color="auto" w:fill="FFFFFF"/>
          <w:lang w:bidi="ar"/>
        </w:rPr>
        <w:t>表13 40-50周岁教职工反馈情况统计</w:t>
      </w:r>
    </w:p>
    <w:tbl>
      <w:tblPr>
        <w:tblStyle w:val="9"/>
        <w:tblW w:w="833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0"/>
        <w:gridCol w:w="836"/>
        <w:gridCol w:w="779"/>
        <w:gridCol w:w="842"/>
        <w:gridCol w:w="821"/>
        <w:gridCol w:w="894"/>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3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w:t>
            </w:r>
          </w:p>
        </w:tc>
        <w:tc>
          <w:tcPr>
            <w:tcW w:w="7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基本满意</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不满意</w:t>
            </w: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您对学校应用型人才培养定位情况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348</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67.97</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161</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您对学校学科专业布局、适应地方经济发展需求情况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61.45</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187</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36.59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您对学校的专业建设情况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56.13</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42.09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您对学校各专业课程体系设置和课程思政融入情况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296</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57.81</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208</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40.63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您对学校教材建设和选用情况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318</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62.6</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36.02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您对学校环境以及教学基础设施等情况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295</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57.96</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37.92</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您对学校实践教学的条件及时间安排等情况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295</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57.84</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195</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38.24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您对学校的教学管理（规章制度、学风以及考风考纪）等建设情况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58.51</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194</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37.96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您对学校各级教学管理人员服务意识和基本素质情况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303</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59.18</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您对学校教师的整体教学态度与水平情况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329</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64.51</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170</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33.33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您对学校近年来的师资队伍建设情况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321</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62.09</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33.85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您对校园文化建设与师德建设情况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336</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61.31</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198</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36.13</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您对学校教学质量监控体系情况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318</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62.35</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180</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您对学校关于教师的考核评价方式情况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281</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54.99</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198</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38.75</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您对您的工作环境与条件情况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300</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58.94</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188</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36.94</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您与学生之间的关系情况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75.73</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119</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23.29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您对学校大学生创新创业教学情况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59.96</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您对学校大学生社会责任担当情况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299</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58.86</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195</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38.39</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您与同事之间的关系情况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408</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79.84</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19.37</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您对学校的发展前景情况</w:t>
            </w:r>
          </w:p>
        </w:tc>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63.78</w:t>
            </w:r>
          </w:p>
        </w:tc>
        <w:tc>
          <w:tcPr>
            <w:tcW w:w="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170</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33.46</w:t>
            </w:r>
          </w:p>
        </w:tc>
        <w:tc>
          <w:tcPr>
            <w:tcW w:w="8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7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2.76</w:t>
            </w:r>
          </w:p>
        </w:tc>
      </w:tr>
    </w:tbl>
    <w:p>
      <w:pPr>
        <w:shd w:val="clear" w:color="auto" w:fill="FFFFFF"/>
        <w:spacing w:line="400" w:lineRule="exact"/>
        <w:ind w:firstLine="480" w:firstLineChars="200"/>
        <w:outlineLvl w:val="0"/>
        <w:rPr>
          <w:rFonts w:ascii="Times New Roman" w:hAnsi="Times New Roman" w:cs="Times New Roman"/>
          <w:sz w:val="24"/>
          <w:shd w:val="clear" w:color="auto" w:fill="FFFFFF"/>
        </w:rPr>
      </w:pPr>
      <w:r>
        <w:rPr>
          <w:rFonts w:hint="eastAsia" w:ascii="宋体" w:hAnsi="宋体" w:eastAsia="宋体" w:cs="宋体"/>
          <w:sz w:val="24"/>
          <w:shd w:val="clear" w:color="auto" w:fill="FFFFFF"/>
          <w:lang w:bidi="ar"/>
        </w:rPr>
        <w:t>40-50周岁教职工参与问卷调查反馈共计151名，对学校教学工作总体满意、基本满意率为97.34%，不满意率为2.65%，根据统计结果我们可以了解到：40-50周岁教职工对您对学校应用型人才培养定位情况、与学生之间的关系情况、与同事之间的关系情况满意度较高，满意率为67.97%、75.73%和79.84%。</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表14 50周岁以上教职工反馈情况统计</w:t>
      </w:r>
    </w:p>
    <w:tbl>
      <w:tblPr>
        <w:tblStyle w:val="9"/>
        <w:tblW w:w="8352"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5"/>
        <w:gridCol w:w="695"/>
        <w:gridCol w:w="926"/>
        <w:gridCol w:w="779"/>
        <w:gridCol w:w="800"/>
        <w:gridCol w:w="737"/>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1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满意</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[基本满意</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不满意</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百分比</w:t>
            </w:r>
            <w:r>
              <w:rPr>
                <w:rFonts w:hint="eastAsia" w:ascii="宋体" w:hAnsi="宋体" w:eastAsia="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您对学校应用型人才培养定位情况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75.44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24.56</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您对学校学科专业布局、适应地方经济发展需求情况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64.91</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35.09</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您对学校的专业建设情况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53.57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46.43</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您对学校各专业课程体系设置和课程思政融入情况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49.12</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50.88</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您对学校教材建设和选用情况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63.16</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36.84</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您对学校环境以及教学基础设施等情况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35.09</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您对学校实践教学的条件及时间安排等情况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53.57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42.86</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您对学校的教学管理（规章制度、学风以及考风考纪）等建设情况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56.14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42.11</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您对学校各级教学管理人员服务意识和基本素质情况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35.09</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您对学校教师的整体教学态度与水平情况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63.16</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35.09</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您对学校近年来的师资队伍建设情况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51.67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43.33</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您对校园文化建设与师德建设情况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58.21</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41.79</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您对学校教学质量监控体系情况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54.39</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43.86</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您对学校关于教师的考核评价方式情况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45.61</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49.12</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您对您的工作环境与条件情况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62.5</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32.14</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您与学生之间的关系情况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75.44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24.56</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您对学校大学生创新创业教学情况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56.14</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42.11</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您对学校大学生社会责任担当情况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52.63</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45.61</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您与同事之间的关系情况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83.93</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16.07</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您对学校的发展前景情况</w:t>
            </w:r>
          </w:p>
        </w:tc>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9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66.67</w:t>
            </w:r>
          </w:p>
        </w:tc>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28.07</w:t>
            </w:r>
          </w:p>
        </w:tc>
        <w:tc>
          <w:tcPr>
            <w:tcW w:w="7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5.26</w:t>
            </w:r>
          </w:p>
        </w:tc>
      </w:tr>
    </w:tbl>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50周岁以上教职工参与问卷调查反馈共计57名，对学校教学工作总体满意、基本满意率为97.98%，不满意率为2.01%，根据统计结果我们可以了解到：50周岁以上教职工您对学校应用型人才培养定位情况、您与学生之间的关系情况、您与同事之间的关系情况满意度较高，满意率为75.44%、75.44%、83.93%。</w:t>
      </w:r>
    </w:p>
    <w:p>
      <w:pPr>
        <w:shd w:val="clear" w:color="auto" w:fill="FFFFFF"/>
        <w:spacing w:line="400" w:lineRule="exact"/>
        <w:jc w:val="left"/>
        <w:rPr>
          <w:rFonts w:ascii="黑体" w:hAnsi="宋体" w:eastAsia="黑体" w:cs="黑体"/>
          <w:color w:val="000000"/>
          <w:sz w:val="28"/>
          <w:szCs w:val="28"/>
          <w:shd w:val="clear" w:color="auto" w:fill="FFFFFF"/>
        </w:rPr>
      </w:pPr>
      <w:r>
        <w:rPr>
          <w:rFonts w:hint="eastAsia" w:ascii="黑体" w:hAnsi="宋体" w:eastAsia="黑体" w:cs="黑体"/>
          <w:color w:val="000000"/>
          <w:sz w:val="28"/>
          <w:szCs w:val="28"/>
          <w:shd w:val="clear" w:color="auto" w:fill="FFFFFF"/>
          <w:lang w:bidi="ar"/>
        </w:rPr>
        <w:t>（三）教师对各专业类型学生学习状况满意度分析</w:t>
      </w:r>
    </w:p>
    <w:p>
      <w:pPr>
        <w:shd w:val="clear" w:color="auto" w:fill="FFFFFF"/>
        <w:jc w:val="center"/>
        <w:rPr>
          <w:rFonts w:ascii="宋体" w:hAnsi="宋体" w:eastAsia="宋体" w:cs="宋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5276850" cy="1943100"/>
            <wp:effectExtent l="0" t="0" r="0" b="0"/>
            <wp:docPr id="47" name="图片 3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descr="IMG_261"/>
                    <pic:cNvPicPr>
                      <a:picLocks noChangeAspect="1"/>
                    </pic:cNvPicPr>
                  </pic:nvPicPr>
                  <pic:blipFill>
                    <a:blip r:embed="rId11"/>
                    <a:stretch>
                      <a:fillRect/>
                    </a:stretch>
                  </pic:blipFill>
                  <pic:spPr>
                    <a:xfrm>
                      <a:off x="0" y="0"/>
                      <a:ext cx="5276850" cy="1943100"/>
                    </a:xfrm>
                    <a:prstGeom prst="rect">
                      <a:avLst/>
                    </a:prstGeom>
                    <a:noFill/>
                    <a:ln w="9525">
                      <a:noFill/>
                    </a:ln>
                  </pic:spPr>
                </pic:pic>
              </a:graphicData>
            </a:graphic>
          </wp:inline>
        </w:drawing>
      </w:r>
      <w:r>
        <w:rPr>
          <w:rFonts w:hint="eastAsia" w:ascii="宋体" w:hAnsi="宋体" w:eastAsia="宋体" w:cs="宋体"/>
          <w:color w:val="000000"/>
          <w:sz w:val="24"/>
          <w:shd w:val="clear" w:color="auto" w:fill="FFFFFF"/>
          <w:lang w:bidi="ar"/>
        </w:rPr>
        <w:t xml:space="preserve"> </w:t>
      </w:r>
    </w:p>
    <w:p>
      <w:pPr>
        <w:shd w:val="clear" w:color="auto" w:fill="FFFFFF"/>
        <w:spacing w:line="400" w:lineRule="exact"/>
        <w:jc w:val="center"/>
        <w:outlineLvl w:val="0"/>
        <w:rPr>
          <w:rFonts w:ascii="宋体" w:hAnsi="宋体" w:eastAsia="宋体" w:cs="宋体"/>
          <w:color w:val="000000"/>
          <w:sz w:val="24"/>
          <w:shd w:val="clear" w:color="auto" w:fill="FFFFFF"/>
        </w:rPr>
      </w:pPr>
      <w:r>
        <w:rPr>
          <w:rFonts w:hint="eastAsia" w:ascii="宋体" w:hAnsi="宋体" w:eastAsia="宋体" w:cs="宋体"/>
          <w:b/>
          <w:bCs/>
          <w:color w:val="000000"/>
          <w:szCs w:val="21"/>
          <w:shd w:val="clear" w:color="auto" w:fill="FFFFFF"/>
          <w:lang w:bidi="ar"/>
        </w:rPr>
        <w:t>图6 教师对理工类学生学习满意度</w:t>
      </w:r>
    </w:p>
    <w:p>
      <w:pPr>
        <w:shd w:val="clear" w:color="auto" w:fill="FFFFFF"/>
        <w:spacing w:line="400" w:lineRule="exact"/>
        <w:ind w:firstLine="480" w:firstLineChars="200"/>
        <w:outlineLvl w:val="0"/>
        <w:rPr>
          <w:rFonts w:ascii="宋体" w:hAnsi="宋体" w:eastAsia="宋体" w:cs="宋体"/>
          <w:color w:val="C0504D"/>
          <w:sz w:val="24"/>
          <w:shd w:val="clear" w:color="auto" w:fill="FFFFFF"/>
        </w:rPr>
      </w:pPr>
      <w:r>
        <w:rPr>
          <w:rFonts w:hint="eastAsia" w:ascii="宋体" w:hAnsi="宋体" w:eastAsia="宋体" w:cs="宋体"/>
          <w:color w:val="000000"/>
          <w:sz w:val="24"/>
          <w:shd w:val="clear" w:color="auto" w:fill="FFFFFF"/>
          <w:lang w:bidi="ar"/>
        </w:rPr>
        <w:t>教师针对理工类学生的满意度调查问卷共计回收215份，对理工类学生总体满意、基本满意率为94.16%，不满意率为5.83%。根据统计结果我们可以了解到：教师对理工类学生遵守校规校纪、尊敬师长情况；学生不旷课、不迟到、不早退、出勤率和抬头率高、课堂秩序好等情况学生能认识到学习本课程的意义和作用，并能形成正确的世界观、人生观和价值观等情况；满意率较高，满意率为73.95%、52.8%和54.21%。</w:t>
      </w:r>
      <w:r>
        <w:rPr>
          <w:rFonts w:hint="eastAsia" w:ascii="宋体" w:hAnsi="宋体" w:eastAsia="宋体" w:cs="宋体"/>
          <w:sz w:val="24"/>
          <w:shd w:val="clear" w:color="auto" w:fill="FFFFFF"/>
          <w:lang w:bidi="ar"/>
        </w:rPr>
        <w:t>对理工类学生学生能做到课前预习，课后复习，能按时认真完成作业，无抄袭现象等情况；学生学习自觉性高，自学能力较好。</w:t>
      </w:r>
    </w:p>
    <w:p>
      <w:pPr>
        <w:shd w:val="clear" w:color="auto" w:fill="FFFFFF"/>
        <w:jc w:val="center"/>
        <w:rPr>
          <w:rFonts w:ascii="宋体" w:hAnsi="宋体" w:eastAsia="宋体" w:cs="宋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5276850" cy="2143125"/>
            <wp:effectExtent l="0" t="0" r="0" b="9525"/>
            <wp:docPr id="48" name="图片 3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IMG_262"/>
                    <pic:cNvPicPr>
                      <a:picLocks noChangeAspect="1"/>
                    </pic:cNvPicPr>
                  </pic:nvPicPr>
                  <pic:blipFill>
                    <a:blip r:embed="rId12"/>
                    <a:stretch>
                      <a:fillRect/>
                    </a:stretch>
                  </pic:blipFill>
                  <pic:spPr>
                    <a:xfrm>
                      <a:off x="0" y="0"/>
                      <a:ext cx="5276850" cy="2143125"/>
                    </a:xfrm>
                    <a:prstGeom prst="rect">
                      <a:avLst/>
                    </a:prstGeom>
                    <a:noFill/>
                    <a:ln w="9525">
                      <a:noFill/>
                    </a:ln>
                  </pic:spPr>
                </pic:pic>
              </a:graphicData>
            </a:graphic>
          </wp:inline>
        </w:drawing>
      </w:r>
      <w:r>
        <w:rPr>
          <w:rFonts w:hint="eastAsia" w:ascii="宋体" w:hAnsi="宋体" w:eastAsia="宋体" w:cs="宋体"/>
          <w:color w:val="000000"/>
          <w:sz w:val="24"/>
          <w:shd w:val="clear" w:color="auto" w:fill="FFFFFF"/>
          <w:lang w:bidi="ar"/>
        </w:rPr>
        <w:t xml:space="preserve"> </w:t>
      </w:r>
    </w:p>
    <w:p>
      <w:pPr>
        <w:shd w:val="clear" w:color="auto" w:fill="FFFFFF"/>
        <w:spacing w:line="400" w:lineRule="exact"/>
        <w:jc w:val="center"/>
        <w:outlineLvl w:val="0"/>
        <w:rPr>
          <w:rFonts w:ascii="宋体" w:hAnsi="宋体" w:eastAsia="宋体" w:cs="宋体"/>
          <w:color w:val="000000"/>
          <w:sz w:val="24"/>
          <w:shd w:val="clear" w:color="auto" w:fill="FFFFFF"/>
        </w:rPr>
      </w:pPr>
      <w:r>
        <w:rPr>
          <w:rFonts w:hint="eastAsia" w:ascii="宋体" w:hAnsi="宋体" w:eastAsia="宋体" w:cs="宋体"/>
          <w:b/>
          <w:bCs/>
          <w:color w:val="000000"/>
          <w:szCs w:val="21"/>
          <w:shd w:val="clear" w:color="auto" w:fill="FFFFFF"/>
          <w:lang w:bidi="ar"/>
        </w:rPr>
        <w:t>图7 教师对文法（财经）类学生学习满意度</w:t>
      </w:r>
    </w:p>
    <w:p>
      <w:pPr>
        <w:shd w:val="clear" w:color="auto" w:fill="FFFFFF"/>
        <w:spacing w:line="400" w:lineRule="exact"/>
        <w:ind w:firstLine="480" w:firstLineChars="200"/>
        <w:outlineLvl w:val="0"/>
        <w:rPr>
          <w:rFonts w:ascii="宋体" w:hAnsi="宋体" w:eastAsia="宋体" w:cs="宋体"/>
          <w:sz w:val="24"/>
          <w:shd w:val="clear" w:color="auto" w:fill="FFFFFF"/>
        </w:rPr>
      </w:pPr>
      <w:r>
        <w:rPr>
          <w:rFonts w:hint="eastAsia" w:ascii="宋体" w:hAnsi="宋体" w:eastAsia="宋体" w:cs="宋体"/>
          <w:color w:val="000000"/>
          <w:sz w:val="24"/>
          <w:shd w:val="clear" w:color="auto" w:fill="FFFFFF"/>
          <w:lang w:bidi="ar"/>
        </w:rPr>
        <w:t>教师针对文法（财经）类学生的满意度调查问卷共计回收244份，对文法（财经）类学生总体满意、基本满意率为94.32%，不满意率为5.67%。根据统计结果我们可以了解到：教师对文法（财经）类学生学生遵守校规校纪、尊敬师长情况；学生不旷课、不迟到、不早退、出勤率和抬头率高、课堂秩序好等情况；学生能认识到学习本课程的意义和作用，并能形成正确的世界观、人生观和价值观等情况满意率较高，满意率为66.26%、57.79%和53.5%。</w:t>
      </w:r>
    </w:p>
    <w:p>
      <w:pPr>
        <w:shd w:val="clear" w:color="auto" w:fill="FFFFFF"/>
        <w:jc w:val="center"/>
        <w:rPr>
          <w:rFonts w:ascii="宋体" w:hAnsi="宋体" w:eastAsia="宋体" w:cs="宋体"/>
          <w:color w:val="000000"/>
          <w:sz w:val="24"/>
          <w:shd w:val="clear" w:color="auto" w:fill="FFFFFF"/>
        </w:rPr>
      </w:pPr>
      <w:r>
        <w:rPr>
          <w:rFonts w:ascii="Times New Roman" w:hAnsi="Times New Roman" w:cs="Times New Roman"/>
          <w:szCs w:val="21"/>
          <w:shd w:val="clear" w:color="auto" w:fill="FFFFFF"/>
          <w:lang w:bidi="ar"/>
        </w:rPr>
        <w:drawing>
          <wp:inline distT="0" distB="0" distL="114300" distR="114300">
            <wp:extent cx="5276850" cy="2171700"/>
            <wp:effectExtent l="0" t="0" r="0" b="0"/>
            <wp:docPr id="49" name="图片 3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IMG_263"/>
                    <pic:cNvPicPr>
                      <a:picLocks noChangeAspect="1"/>
                    </pic:cNvPicPr>
                  </pic:nvPicPr>
                  <pic:blipFill>
                    <a:blip r:embed="rId13"/>
                    <a:stretch>
                      <a:fillRect/>
                    </a:stretch>
                  </pic:blipFill>
                  <pic:spPr>
                    <a:xfrm>
                      <a:off x="0" y="0"/>
                      <a:ext cx="5276850" cy="2171700"/>
                    </a:xfrm>
                    <a:prstGeom prst="rect">
                      <a:avLst/>
                    </a:prstGeom>
                    <a:noFill/>
                    <a:ln w="9525">
                      <a:noFill/>
                    </a:ln>
                  </pic:spPr>
                </pic:pic>
              </a:graphicData>
            </a:graphic>
          </wp:inline>
        </w:drawing>
      </w:r>
      <w:r>
        <w:rPr>
          <w:rFonts w:hint="eastAsia" w:ascii="宋体" w:hAnsi="宋体" w:eastAsia="宋体" w:cs="宋体"/>
          <w:color w:val="000000"/>
          <w:sz w:val="24"/>
          <w:shd w:val="clear" w:color="auto" w:fill="FFFFFF"/>
          <w:lang w:bidi="ar"/>
        </w:rPr>
        <w:t xml:space="preserve"> </w:t>
      </w:r>
    </w:p>
    <w:p>
      <w:pPr>
        <w:shd w:val="clear" w:color="auto" w:fill="FFFFFF"/>
        <w:spacing w:line="400" w:lineRule="exact"/>
        <w:jc w:val="center"/>
        <w:outlineLvl w:val="0"/>
        <w:rPr>
          <w:rFonts w:ascii="宋体" w:hAnsi="宋体" w:eastAsia="宋体" w:cs="宋体"/>
          <w:color w:val="000000"/>
          <w:sz w:val="24"/>
          <w:shd w:val="clear" w:color="auto" w:fill="FFFFFF"/>
        </w:rPr>
      </w:pPr>
      <w:r>
        <w:rPr>
          <w:rFonts w:hint="eastAsia" w:ascii="宋体" w:hAnsi="宋体" w:eastAsia="宋体" w:cs="宋体"/>
          <w:b/>
          <w:bCs/>
          <w:color w:val="000000"/>
          <w:szCs w:val="21"/>
          <w:shd w:val="clear" w:color="auto" w:fill="FFFFFF"/>
          <w:lang w:bidi="ar"/>
        </w:rPr>
        <w:t>图8 教师对艺术类学生学习满意度</w:t>
      </w:r>
    </w:p>
    <w:p>
      <w:pPr>
        <w:shd w:val="clear" w:color="auto" w:fill="FFFFFF"/>
        <w:spacing w:line="400" w:lineRule="exact"/>
        <w:ind w:firstLine="480" w:firstLineChars="200"/>
        <w:outlineLvl w:val="0"/>
        <w:rPr>
          <w:rFonts w:ascii="黑体" w:hAnsi="宋体" w:eastAsia="黑体" w:cs="黑体"/>
          <w:color w:val="000000"/>
          <w:sz w:val="28"/>
          <w:szCs w:val="28"/>
          <w:shd w:val="clear" w:color="auto" w:fill="FFFFFF"/>
        </w:rPr>
      </w:pPr>
      <w:r>
        <w:rPr>
          <w:rFonts w:hint="eastAsia" w:ascii="宋体" w:hAnsi="宋体" w:eastAsia="宋体" w:cs="宋体"/>
          <w:color w:val="000000"/>
          <w:sz w:val="24"/>
          <w:shd w:val="clear" w:color="auto" w:fill="FFFFFF"/>
          <w:lang w:bidi="ar"/>
        </w:rPr>
        <w:t>教师针对艺术类学生的满意度调查问卷共计回收28份，对艺术类学生总体满意、基本满意率为97.84%，不满意率为2.15。根据统计结果我们可以了解到：教师对艺术类学生遵守校规校纪、尊敬师长情况；学生不旷课、不迟到、不早退、出勤率和抬头率高、课堂秩序好等情况；学生能较好地掌握本门课程基本知识、基础理论和基本技能等情况满意率较高，满意率为71.43%、67.86%和70.37%。</w:t>
      </w:r>
    </w:p>
    <w:tbl>
      <w:tblPr>
        <w:tblStyle w:val="9"/>
        <w:tblW w:w="0" w:type="auto"/>
        <w:tblCellSpacing w:w="0" w:type="dxa"/>
        <w:tblInd w:w="0" w:type="dxa"/>
        <w:tblLayout w:type="autofit"/>
        <w:tblCellMar>
          <w:top w:w="0" w:type="dxa"/>
          <w:left w:w="0" w:type="dxa"/>
          <w:bottom w:w="0" w:type="dxa"/>
          <w:right w:w="0" w:type="dxa"/>
        </w:tblCellMar>
      </w:tblPr>
      <w:tblGrid>
        <w:gridCol w:w="6"/>
        <w:gridCol w:w="8300"/>
      </w:tblGrid>
      <w:tr>
        <w:tblPrEx>
          <w:tblCellMar>
            <w:top w:w="0" w:type="dxa"/>
            <w:left w:w="0" w:type="dxa"/>
            <w:bottom w:w="0" w:type="dxa"/>
            <w:right w:w="0" w:type="dxa"/>
          </w:tblCellMar>
        </w:tblPrEx>
        <w:trPr>
          <w:gridAfter w:val="1"/>
          <w:wAfter w:w="8300" w:type="dxa"/>
          <w:tblCellSpacing w:w="0" w:type="dxa"/>
        </w:trPr>
        <w:tc>
          <w:tcPr>
            <w:tcW w:w="148" w:type="dxa"/>
            <w:shd w:val="clear" w:color="auto" w:fill="auto"/>
            <w:vAlign w:val="center"/>
          </w:tcPr>
          <w:p>
            <w:pPr>
              <w:rPr>
                <w:rFonts w:ascii="宋体"/>
                <w:sz w:val="24"/>
              </w:rPr>
            </w:pPr>
          </w:p>
        </w:tc>
      </w:tr>
      <w:tr>
        <w:tblPrEx>
          <w:tblCellMar>
            <w:top w:w="0" w:type="dxa"/>
            <w:left w:w="0" w:type="dxa"/>
            <w:bottom w:w="0" w:type="dxa"/>
            <w:right w:w="0" w:type="dxa"/>
          </w:tblCellMar>
        </w:tblPrEx>
        <w:trPr>
          <w:tblCellSpacing w:w="0" w:type="dxa"/>
        </w:trPr>
        <w:tc>
          <w:tcPr>
            <w:tcW w:w="0" w:type="auto"/>
            <w:shd w:val="clear" w:color="auto" w:fill="auto"/>
            <w:vAlign w:val="center"/>
          </w:tcPr>
          <w:p>
            <w:pPr>
              <w:rPr>
                <w:rFonts w:ascii="宋体"/>
                <w:sz w:val="24"/>
              </w:rPr>
            </w:pPr>
          </w:p>
        </w:tc>
        <w:tc>
          <w:tcPr>
            <w:tcW w:w="0" w:type="auto"/>
            <w:shd w:val="clear" w:color="auto" w:fill="auto"/>
            <w:vAlign w:val="center"/>
          </w:tcPr>
          <w:p>
            <w:pPr>
              <w:widowControl/>
              <w:jc w:val="left"/>
            </w:pPr>
            <w:r>
              <w:rPr>
                <w:rFonts w:ascii="宋体" w:hAnsi="宋体" w:eastAsia="宋体" w:cs="宋体"/>
                <w:sz w:val="24"/>
                <w:lang w:bidi="ar"/>
              </w:rPr>
              <w:drawing>
                <wp:inline distT="0" distB="0" distL="114300" distR="114300">
                  <wp:extent cx="5295900" cy="4686300"/>
                  <wp:effectExtent l="0" t="0" r="0" b="0"/>
                  <wp:docPr id="44" name="图片 3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64"/>
                          <pic:cNvPicPr>
                            <a:picLocks noChangeAspect="1"/>
                          </pic:cNvPicPr>
                        </pic:nvPicPr>
                        <pic:blipFill>
                          <a:blip r:embed="rId14"/>
                          <a:stretch>
                            <a:fillRect/>
                          </a:stretch>
                        </pic:blipFill>
                        <pic:spPr>
                          <a:xfrm>
                            <a:off x="0" y="0"/>
                            <a:ext cx="5295900" cy="4686300"/>
                          </a:xfrm>
                          <a:prstGeom prst="rect">
                            <a:avLst/>
                          </a:prstGeom>
                          <a:noFill/>
                          <a:ln w="9525">
                            <a:noFill/>
                          </a:ln>
                        </pic:spPr>
                      </pic:pic>
                    </a:graphicData>
                  </a:graphic>
                </wp:inline>
              </w:drawing>
            </w:r>
          </w:p>
        </w:tc>
      </w:tr>
    </w:tbl>
    <w:p>
      <w:pPr>
        <w:rPr>
          <w:vanish/>
          <w:sz w:val="24"/>
        </w:rPr>
      </w:pPr>
    </w:p>
    <w:tbl>
      <w:tblPr>
        <w:tblStyle w:val="9"/>
        <w:tblW w:w="0" w:type="auto"/>
        <w:tblCellSpacing w:w="0" w:type="dxa"/>
        <w:tblInd w:w="0" w:type="dxa"/>
        <w:tblLayout w:type="autofit"/>
        <w:tblCellMar>
          <w:top w:w="0" w:type="dxa"/>
          <w:left w:w="0" w:type="dxa"/>
          <w:bottom w:w="0" w:type="dxa"/>
          <w:right w:w="0" w:type="dxa"/>
        </w:tblCellMar>
      </w:tblPr>
      <w:tblGrid>
        <w:gridCol w:w="6"/>
        <w:gridCol w:w="8300"/>
      </w:tblGrid>
      <w:tr>
        <w:tblPrEx>
          <w:tblCellMar>
            <w:top w:w="0" w:type="dxa"/>
            <w:left w:w="0" w:type="dxa"/>
            <w:bottom w:w="0" w:type="dxa"/>
            <w:right w:w="0" w:type="dxa"/>
          </w:tblCellMar>
        </w:tblPrEx>
        <w:trPr>
          <w:gridAfter w:val="1"/>
          <w:wAfter w:w="8300" w:type="dxa"/>
          <w:tblCellSpacing w:w="0" w:type="dxa"/>
        </w:trPr>
        <w:tc>
          <w:tcPr>
            <w:tcW w:w="148" w:type="dxa"/>
            <w:shd w:val="clear" w:color="auto" w:fill="auto"/>
            <w:vAlign w:val="center"/>
          </w:tcPr>
          <w:p>
            <w:pPr>
              <w:rPr>
                <w:rFonts w:ascii="宋体"/>
                <w:sz w:val="24"/>
              </w:rPr>
            </w:pPr>
          </w:p>
        </w:tc>
      </w:tr>
      <w:tr>
        <w:tblPrEx>
          <w:tblCellMar>
            <w:top w:w="0" w:type="dxa"/>
            <w:left w:w="0" w:type="dxa"/>
            <w:bottom w:w="0" w:type="dxa"/>
            <w:right w:w="0" w:type="dxa"/>
          </w:tblCellMar>
        </w:tblPrEx>
        <w:trPr>
          <w:tblCellSpacing w:w="0" w:type="dxa"/>
        </w:trPr>
        <w:tc>
          <w:tcPr>
            <w:tcW w:w="0" w:type="auto"/>
            <w:shd w:val="clear" w:color="auto" w:fill="auto"/>
            <w:vAlign w:val="center"/>
          </w:tcPr>
          <w:p>
            <w:pPr>
              <w:rPr>
                <w:rFonts w:ascii="宋体"/>
                <w:sz w:val="24"/>
              </w:rPr>
            </w:pPr>
          </w:p>
        </w:tc>
        <w:tc>
          <w:tcPr>
            <w:tcW w:w="0" w:type="auto"/>
            <w:shd w:val="clear" w:color="auto" w:fill="auto"/>
            <w:vAlign w:val="center"/>
          </w:tcPr>
          <w:p>
            <w:pPr>
              <w:widowControl/>
              <w:jc w:val="left"/>
            </w:pPr>
            <w:r>
              <w:rPr>
                <w:rFonts w:ascii="宋体" w:hAnsi="宋体" w:eastAsia="宋体" w:cs="宋体"/>
                <w:sz w:val="24"/>
                <w:lang w:bidi="ar"/>
              </w:rPr>
              <w:drawing>
                <wp:inline distT="0" distB="0" distL="114300" distR="114300">
                  <wp:extent cx="5295900" cy="3752850"/>
                  <wp:effectExtent l="0" t="0" r="0" b="0"/>
                  <wp:docPr id="43" name="图片 3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IMG_265"/>
                          <pic:cNvPicPr>
                            <a:picLocks noChangeAspect="1"/>
                          </pic:cNvPicPr>
                        </pic:nvPicPr>
                        <pic:blipFill>
                          <a:blip r:embed="rId15"/>
                          <a:stretch>
                            <a:fillRect/>
                          </a:stretch>
                        </pic:blipFill>
                        <pic:spPr>
                          <a:xfrm>
                            <a:off x="0" y="0"/>
                            <a:ext cx="5295900" cy="3752850"/>
                          </a:xfrm>
                          <a:prstGeom prst="rect">
                            <a:avLst/>
                          </a:prstGeom>
                          <a:noFill/>
                          <a:ln w="9525">
                            <a:noFill/>
                          </a:ln>
                        </pic:spPr>
                      </pic:pic>
                    </a:graphicData>
                  </a:graphic>
                </wp:inline>
              </w:drawing>
            </w:r>
          </w:p>
        </w:tc>
      </w:tr>
    </w:tbl>
    <w:p>
      <w:pPr>
        <w:shd w:val="clear" w:color="auto" w:fill="FFFFFF"/>
        <w:spacing w:line="400" w:lineRule="exact"/>
        <w:jc w:val="left"/>
        <w:rPr>
          <w:rFonts w:ascii="Times New Roman" w:hAnsi="Times New Roman" w:eastAsia="宋体" w:cs="Times New Roman"/>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（四）教师对不同性质课程下的学生学习状况满意度分析</w:t>
      </w:r>
    </w:p>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图9教师对专业课程下学生学习状况总体满意度反馈分析</w:t>
      </w:r>
    </w:p>
    <w:p>
      <w:pPr>
        <w:shd w:val="clear" w:color="auto" w:fill="FFFFFF"/>
        <w:spacing w:line="400" w:lineRule="exact"/>
        <w:ind w:firstLine="480" w:firstLineChars="200"/>
        <w:outlineLvl w:val="0"/>
        <w:rPr>
          <w:rFonts w:ascii="宋体" w:hAnsi="宋体" w:eastAsia="宋体" w:cs="宋体"/>
          <w:sz w:val="24"/>
          <w:shd w:val="clear" w:color="auto" w:fill="FFFFFF"/>
        </w:rPr>
      </w:pPr>
      <w:r>
        <w:rPr>
          <w:rFonts w:hint="eastAsia" w:ascii="宋体" w:hAnsi="宋体" w:eastAsia="宋体" w:cs="宋体"/>
          <w:color w:val="000000"/>
          <w:sz w:val="24"/>
          <w:shd w:val="clear" w:color="auto" w:fill="FFFFFF"/>
          <w:lang w:bidi="ar"/>
        </w:rPr>
        <w:t>教师针对专业课下学生学习情况的满意度调查问卷共计回收318份，对专业课下学生总体满意、基本满意率为94.09%，不满意率为5.90%。根据统计结果我们可以了解到：教师对专业课下学生遵守校规校纪、尊敬师长情况；学生不旷课、不迟到、不早退、出勤率和抬头率高、课堂秩序好等情况；学生能认识到学习本课程的意义和作用，并能形成正确的世界观、人生观和价值观等情况满意率较高，满意率为71.38%、56.15%和53.63%。对专业课下学生课堂气氛活跃，踊跃发言，积极参与课堂讨论等情况；学生能做到课前预习，课后复习，能按时认真完成作业</w:t>
      </w:r>
      <w:r>
        <w:rPr>
          <w:rFonts w:hint="eastAsia" w:ascii="宋体" w:hAnsi="宋体" w:eastAsia="宋体" w:cs="宋体"/>
          <w:sz w:val="24"/>
          <w:shd w:val="clear" w:color="auto" w:fill="FFFFFF"/>
          <w:lang w:bidi="ar"/>
        </w:rPr>
        <w:t>，无抄袭现象等情况。</w:t>
      </w:r>
    </w:p>
    <w:tbl>
      <w:tblPr>
        <w:tblStyle w:val="9"/>
        <w:tblW w:w="0" w:type="auto"/>
        <w:jc w:val="center"/>
        <w:tblCellSpacing w:w="0" w:type="dxa"/>
        <w:tblLayout w:type="autofit"/>
        <w:tblCellMar>
          <w:top w:w="0" w:type="dxa"/>
          <w:left w:w="0" w:type="dxa"/>
          <w:bottom w:w="0" w:type="dxa"/>
          <w:right w:w="0" w:type="dxa"/>
        </w:tblCellMar>
      </w:tblPr>
      <w:tblGrid>
        <w:gridCol w:w="6"/>
        <w:gridCol w:w="8300"/>
      </w:tblGrid>
      <w:tr>
        <w:tblPrEx>
          <w:tblCellMar>
            <w:top w:w="0" w:type="dxa"/>
            <w:left w:w="0" w:type="dxa"/>
            <w:bottom w:w="0" w:type="dxa"/>
            <w:right w:w="0" w:type="dxa"/>
          </w:tblCellMar>
        </w:tblPrEx>
        <w:trPr>
          <w:gridAfter w:val="1"/>
          <w:wAfter w:w="8300" w:type="dxa"/>
          <w:tblCellSpacing w:w="0" w:type="dxa"/>
          <w:jc w:val="center"/>
        </w:trPr>
        <w:tc>
          <w:tcPr>
            <w:tcW w:w="68" w:type="dxa"/>
            <w:shd w:val="clear" w:color="auto" w:fill="auto"/>
            <w:vAlign w:val="center"/>
          </w:tcPr>
          <w:p>
            <w:pPr>
              <w:rPr>
                <w:rFonts w:ascii="宋体"/>
                <w:sz w:val="24"/>
              </w:rPr>
            </w:pPr>
          </w:p>
        </w:tc>
      </w:tr>
      <w:tr>
        <w:tblPrEx>
          <w:tblCellMar>
            <w:top w:w="0" w:type="dxa"/>
            <w:left w:w="0" w:type="dxa"/>
            <w:bottom w:w="0" w:type="dxa"/>
            <w:right w:w="0" w:type="dxa"/>
          </w:tblCellMar>
        </w:tblPrEx>
        <w:trPr>
          <w:tblCellSpacing w:w="0" w:type="dxa"/>
          <w:jc w:val="center"/>
        </w:trPr>
        <w:tc>
          <w:tcPr>
            <w:tcW w:w="0" w:type="auto"/>
            <w:shd w:val="clear" w:color="auto" w:fill="auto"/>
            <w:vAlign w:val="center"/>
          </w:tcPr>
          <w:p>
            <w:pPr>
              <w:rPr>
                <w:rFonts w:ascii="宋体"/>
                <w:sz w:val="24"/>
              </w:rPr>
            </w:pPr>
          </w:p>
        </w:tc>
        <w:tc>
          <w:tcPr>
            <w:tcW w:w="0" w:type="auto"/>
            <w:shd w:val="clear" w:color="auto" w:fill="auto"/>
            <w:vAlign w:val="center"/>
          </w:tcPr>
          <w:p>
            <w:pPr>
              <w:widowControl/>
              <w:jc w:val="left"/>
              <w:outlineLvl w:val="0"/>
            </w:pPr>
            <w:r>
              <w:rPr>
                <w:rFonts w:ascii="宋体" w:hAnsi="宋体" w:eastAsia="宋体" w:cs="宋体"/>
                <w:sz w:val="24"/>
                <w:lang w:bidi="ar"/>
              </w:rPr>
              <w:drawing>
                <wp:inline distT="0" distB="0" distL="114300" distR="114300">
                  <wp:extent cx="5295900" cy="5076825"/>
                  <wp:effectExtent l="0" t="0" r="0" b="9525"/>
                  <wp:docPr id="50" name="图片 4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descr="IMG_266"/>
                          <pic:cNvPicPr>
                            <a:picLocks noChangeAspect="1"/>
                          </pic:cNvPicPr>
                        </pic:nvPicPr>
                        <pic:blipFill>
                          <a:blip r:embed="rId16"/>
                          <a:stretch>
                            <a:fillRect/>
                          </a:stretch>
                        </pic:blipFill>
                        <pic:spPr>
                          <a:xfrm>
                            <a:off x="0" y="0"/>
                            <a:ext cx="5295900" cy="5076825"/>
                          </a:xfrm>
                          <a:prstGeom prst="rect">
                            <a:avLst/>
                          </a:prstGeom>
                          <a:noFill/>
                          <a:ln w="9525">
                            <a:noFill/>
                          </a:ln>
                        </pic:spPr>
                      </pic:pic>
                    </a:graphicData>
                  </a:graphic>
                </wp:inline>
              </w:drawing>
            </w:r>
          </w:p>
        </w:tc>
      </w:tr>
    </w:tbl>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图10教师对基础课程下学生学习状况总体满意度反馈分析</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教师针对基础课下学生学习情况的满意度调查问卷共计回收134份，对专业课下学生总体满意、基本满意率为95.88%，不满意率为4.11%。根据统计结果我们可以了解到：教师对基础课下学生遵守校规校纪、尊敬师长情况；学生不旷课、不迟到、不早退、出勤率和抬头率高、课堂秩序好等情况；学生能认识到学习本课程的意义和作用，并能形成正确的世界观、人生观和价值观等情况满意率较高，满意率为68.42%、58.21%和52.99%。对基础课下学生能做到课前预习，课后复习，能按时认真完成作业，无抄袭现象等情况。</w:t>
      </w:r>
    </w:p>
    <w:p>
      <w:pPr>
        <w:shd w:val="clear" w:color="auto" w:fill="FFFFFF"/>
        <w:jc w:val="center"/>
        <w:outlineLvl w:val="0"/>
      </w:pPr>
      <w:r>
        <w:rPr>
          <w:rFonts w:hint="eastAsia" w:ascii="宋体" w:hAnsi="宋体" w:eastAsia="宋体" w:cs="宋体"/>
          <w:b/>
          <w:bCs/>
          <w:color w:val="000000"/>
          <w:szCs w:val="21"/>
          <w:shd w:val="clear" w:color="auto" w:fill="FFFFFF"/>
          <w:lang w:bidi="ar"/>
        </w:rPr>
        <w:t>图1</w:t>
      </w:r>
    </w:p>
    <w:tbl>
      <w:tblPr>
        <w:tblStyle w:val="9"/>
        <w:tblW w:w="0" w:type="auto"/>
        <w:jc w:val="center"/>
        <w:tblCellSpacing w:w="0" w:type="dxa"/>
        <w:tblLayout w:type="autofit"/>
        <w:tblCellMar>
          <w:top w:w="0" w:type="dxa"/>
          <w:left w:w="0" w:type="dxa"/>
          <w:bottom w:w="0" w:type="dxa"/>
          <w:right w:w="0" w:type="dxa"/>
        </w:tblCellMar>
      </w:tblPr>
      <w:tblGrid>
        <w:gridCol w:w="6"/>
        <w:gridCol w:w="8300"/>
      </w:tblGrid>
      <w:tr>
        <w:tblPrEx>
          <w:tblCellMar>
            <w:top w:w="0" w:type="dxa"/>
            <w:left w:w="0" w:type="dxa"/>
            <w:bottom w:w="0" w:type="dxa"/>
            <w:right w:w="0" w:type="dxa"/>
          </w:tblCellMar>
        </w:tblPrEx>
        <w:trPr>
          <w:gridAfter w:val="1"/>
          <w:wAfter w:w="8300" w:type="dxa"/>
          <w:tblCellSpacing w:w="0" w:type="dxa"/>
          <w:jc w:val="center"/>
        </w:trPr>
        <w:tc>
          <w:tcPr>
            <w:tcW w:w="15" w:type="dxa"/>
            <w:shd w:val="clear" w:color="auto" w:fill="auto"/>
            <w:vAlign w:val="center"/>
          </w:tcPr>
          <w:p>
            <w:pPr>
              <w:rPr>
                <w:rFonts w:ascii="宋体"/>
                <w:sz w:val="24"/>
              </w:rPr>
            </w:pPr>
          </w:p>
        </w:tc>
      </w:tr>
      <w:tr>
        <w:tblPrEx>
          <w:tblCellMar>
            <w:top w:w="0" w:type="dxa"/>
            <w:left w:w="0" w:type="dxa"/>
            <w:bottom w:w="0" w:type="dxa"/>
            <w:right w:w="0" w:type="dxa"/>
          </w:tblCellMar>
        </w:tblPrEx>
        <w:trPr>
          <w:tblCellSpacing w:w="0" w:type="dxa"/>
          <w:jc w:val="center"/>
        </w:trPr>
        <w:tc>
          <w:tcPr>
            <w:tcW w:w="0" w:type="auto"/>
            <w:shd w:val="clear" w:color="auto" w:fill="auto"/>
            <w:vAlign w:val="center"/>
          </w:tcPr>
          <w:p>
            <w:pPr>
              <w:rPr>
                <w:rFonts w:ascii="宋体"/>
                <w:sz w:val="24"/>
              </w:rPr>
            </w:pPr>
          </w:p>
        </w:tc>
        <w:tc>
          <w:tcPr>
            <w:tcW w:w="0" w:type="auto"/>
            <w:shd w:val="clear" w:color="auto" w:fill="auto"/>
            <w:vAlign w:val="center"/>
          </w:tcPr>
          <w:p>
            <w:pPr>
              <w:widowControl/>
              <w:jc w:val="left"/>
              <w:outlineLvl w:val="0"/>
            </w:pPr>
            <w:r>
              <w:rPr>
                <w:rFonts w:ascii="宋体" w:hAnsi="宋体" w:eastAsia="宋体" w:cs="宋体"/>
                <w:sz w:val="24"/>
                <w:lang w:bidi="ar"/>
              </w:rPr>
              <w:drawing>
                <wp:inline distT="0" distB="0" distL="114300" distR="114300">
                  <wp:extent cx="5295900" cy="5334000"/>
                  <wp:effectExtent l="0" t="0" r="0" b="0"/>
                  <wp:docPr id="51" name="图片 4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IMG_267"/>
                          <pic:cNvPicPr>
                            <a:picLocks noChangeAspect="1"/>
                          </pic:cNvPicPr>
                        </pic:nvPicPr>
                        <pic:blipFill>
                          <a:blip r:embed="rId17"/>
                          <a:stretch>
                            <a:fillRect/>
                          </a:stretch>
                        </pic:blipFill>
                        <pic:spPr>
                          <a:xfrm>
                            <a:off x="0" y="0"/>
                            <a:ext cx="5295900" cy="5334000"/>
                          </a:xfrm>
                          <a:prstGeom prst="rect">
                            <a:avLst/>
                          </a:prstGeom>
                          <a:noFill/>
                          <a:ln w="9525">
                            <a:noFill/>
                          </a:ln>
                        </pic:spPr>
                      </pic:pic>
                    </a:graphicData>
                  </a:graphic>
                </wp:inline>
              </w:drawing>
            </w:r>
          </w:p>
        </w:tc>
      </w:tr>
    </w:tbl>
    <w:p>
      <w:pPr>
        <w:shd w:val="clear" w:color="auto" w:fill="FFFFFF"/>
        <w:jc w:val="center"/>
        <w:outlineLvl w:val="0"/>
        <w:rPr>
          <w:rFonts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lang w:bidi="ar"/>
        </w:rPr>
        <w:t>1教师对通识（公选）课程下学生学习状况总体满意度反馈分析</w:t>
      </w:r>
    </w:p>
    <w:p>
      <w:pPr>
        <w:shd w:val="clear" w:color="auto" w:fill="FFFFFF"/>
        <w:spacing w:line="400" w:lineRule="exact"/>
        <w:ind w:firstLine="480" w:firstLineChars="200"/>
        <w:outlineLvl w:val="0"/>
        <w:rPr>
          <w:rFonts w:ascii="宋体" w:hAnsi="宋体" w:eastAsia="宋体" w:cs="宋体"/>
          <w:sz w:val="24"/>
          <w:shd w:val="clear" w:color="auto" w:fill="FFFFFF"/>
        </w:rPr>
      </w:pPr>
      <w:r>
        <w:rPr>
          <w:rFonts w:hint="eastAsia" w:ascii="宋体" w:hAnsi="宋体" w:eastAsia="宋体" w:cs="宋体"/>
          <w:color w:val="000000"/>
          <w:sz w:val="24"/>
          <w:shd w:val="clear" w:color="auto" w:fill="FFFFFF"/>
          <w:lang w:bidi="ar"/>
        </w:rPr>
        <w:t>教师针对学生学习专业课程情况的满意度调查问卷共计回收35份，对学生学习基础课程总体满意、基本满意率为92.24%，不满意率为7.75%。根据统计结果我们可以了解到：教师对学生学习通识（公选）课程学生遵守校规校纪、尊敬师长情况；学生能较好地掌握本门课程基本知识、基础理论和基本技能等情况；学生能认识到学习本课程的意义和作用，并能形成正确的世界观、人生观和价值观等情况，满意率为62.86%、65.71%和67.65%。</w:t>
      </w:r>
      <w:r>
        <w:rPr>
          <w:rFonts w:hint="eastAsia" w:ascii="宋体" w:hAnsi="宋体" w:eastAsia="宋体" w:cs="宋体"/>
          <w:sz w:val="24"/>
          <w:shd w:val="clear" w:color="auto" w:fill="FFFFFF"/>
          <w:lang w:bidi="ar"/>
        </w:rPr>
        <w:t>对学生学生不旷课、不迟到、不早退、出勤率和抬头率高、课堂秩序好等情况；学生能做到课前预习，课后复习，能按时认真完成作业，无抄袭现象等情况。</w:t>
      </w:r>
    </w:p>
    <w:p>
      <w:pPr>
        <w:shd w:val="clear" w:color="auto" w:fill="FFFFFF"/>
        <w:spacing w:line="400" w:lineRule="exact"/>
        <w:outlineLvl w:val="0"/>
        <w:rPr>
          <w:rFonts w:ascii="黑体" w:hAnsi="宋体" w:eastAsia="黑体" w:cs="黑体"/>
          <w:b/>
          <w:bCs/>
          <w:color w:val="000000"/>
          <w:sz w:val="36"/>
          <w:szCs w:val="36"/>
          <w:shd w:val="clear" w:color="auto" w:fill="FFFFFF"/>
        </w:rPr>
      </w:pPr>
      <w:r>
        <w:rPr>
          <w:rFonts w:hint="eastAsia" w:ascii="黑体" w:hAnsi="宋体" w:eastAsia="黑体" w:cs="黑体"/>
          <w:b/>
          <w:bCs/>
          <w:color w:val="000000"/>
          <w:sz w:val="36"/>
          <w:szCs w:val="36"/>
          <w:shd w:val="clear" w:color="auto" w:fill="FFFFFF"/>
          <w:lang w:bidi="ar"/>
        </w:rPr>
        <w:t xml:space="preserve"> </w:t>
      </w:r>
    </w:p>
    <w:p>
      <w:pPr>
        <w:shd w:val="clear" w:color="auto" w:fill="FFFFFF"/>
        <w:spacing w:line="500" w:lineRule="exact"/>
        <w:jc w:val="center"/>
        <w:outlineLvl w:val="0"/>
        <w:rPr>
          <w:rFonts w:ascii="宋体" w:hAnsi="宋体" w:eastAsia="宋体" w:cs="宋体"/>
          <w:b/>
          <w:bCs/>
          <w:color w:val="FF0000"/>
          <w:sz w:val="24"/>
          <w:shd w:val="clear" w:color="auto" w:fill="FFFFFF"/>
        </w:rPr>
      </w:pPr>
      <w:r>
        <w:rPr>
          <w:rFonts w:hint="eastAsia" w:ascii="黑体" w:hAnsi="宋体" w:eastAsia="黑体" w:cs="黑体"/>
          <w:b/>
          <w:bCs/>
          <w:color w:val="000000"/>
          <w:sz w:val="36"/>
          <w:szCs w:val="36"/>
          <w:shd w:val="clear" w:color="auto" w:fill="FFFFFF"/>
          <w:lang w:bidi="ar"/>
        </w:rPr>
        <w:t xml:space="preserve">第七部分 </w:t>
      </w:r>
      <w:r>
        <w:rPr>
          <w:rFonts w:hint="eastAsia" w:ascii="黑体" w:hAnsi="宋体" w:eastAsia="黑体" w:cs="黑体"/>
          <w:b/>
          <w:bCs/>
          <w:color w:val="FF0000"/>
          <w:sz w:val="36"/>
          <w:szCs w:val="36"/>
          <w:shd w:val="clear" w:color="auto" w:fill="FFFFFF"/>
          <w:lang w:bidi="ar"/>
        </w:rPr>
        <w:t xml:space="preserve"> </w:t>
      </w:r>
      <w:r>
        <w:rPr>
          <w:rFonts w:hint="eastAsia" w:ascii="黑体" w:hAnsi="宋体" w:eastAsia="黑体" w:cs="黑体"/>
          <w:b/>
          <w:bCs/>
          <w:sz w:val="36"/>
          <w:szCs w:val="36"/>
          <w:shd w:val="clear" w:color="auto" w:fill="FFFFFF"/>
          <w:lang w:bidi="ar"/>
        </w:rPr>
        <w:t>特色做法</w:t>
      </w:r>
      <w:bookmarkStart w:id="120" w:name="_Toc25405"/>
      <w:bookmarkEnd w:id="120"/>
      <w:bookmarkStart w:id="121" w:name="_Toc27965"/>
      <w:bookmarkEnd w:id="121"/>
      <w:bookmarkStart w:id="122" w:name="_Toc5624"/>
      <w:bookmarkEnd w:id="122"/>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一、聚焦立德树人，着力构建“大思政”格局</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（一）推动思政课程改革创新</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思政课程在课程体系中的思想价值引领作用，积极推动思政课程的“三创”工作。创新教材建设，积极开展马克思主义理论和习近平新时代中国特色社会主义思想课程体系和教材体系建设；创新教学模式，积极实施理论讲授、小组研讨、案例教学、情景模拟等多种教学方法，“课堂—实践—网络”三维立体教学模式初步构建；创新教学管理，全力推动习近平新时代中国特色社会主义思想“三进”工作，深入开展教研活动，不断拓宽育人工作的新途径与新方式。</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（二）完善课程思政体系建设</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构建课程思政和专业课程同向同行的协同育人课程体系，实现课程思政“四覆盖、四融入”，即课程思政覆盖到所有专业、所有课程、所有课堂、所有教师，融入到培养方案、教学大纲、教材讲义和教案讲稿。搭建“铜陵学院课程思政中心”网络平台，开展课程思政建设专项培训，提供优质的课程思政学习资源和案例资源，提升教师育人能力和水平。</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(三)强化思政项目示范引领</w:t>
      </w:r>
    </w:p>
    <w:p>
      <w:pPr>
        <w:shd w:val="clear" w:color="auto" w:fill="FFFFFF"/>
        <w:spacing w:line="400" w:lineRule="exact"/>
        <w:ind w:firstLine="480" w:firstLineChars="200"/>
        <w:outlineLvl w:val="0"/>
        <w:rPr>
          <w:rFonts w:hint="eastAsia" w:ascii="宋体" w:hAnsi="宋体" w:eastAsia="宋体" w:cs="宋体"/>
          <w:color w:val="000000"/>
          <w:sz w:val="24"/>
          <w:shd w:val="clear" w:color="auto" w:fill="FFFFFF"/>
          <w:lang w:bidi="ar"/>
        </w:rPr>
      </w:pPr>
      <w:r>
        <w:rPr>
          <w:rFonts w:hint="eastAsia" w:ascii="宋体" w:hAnsi="宋体" w:eastAsia="宋体" w:cs="宋体"/>
          <w:color w:val="000000"/>
          <w:sz w:val="24"/>
          <w:shd w:val="clear" w:color="auto" w:fill="FFFFFF"/>
          <w:lang w:bidi="ar"/>
        </w:rPr>
        <w:t>校级质量工程项目中设立“课程思政典型案例”专项，培育打造课程思政示范课程，编制2册《“课程思政”优秀教学典型案例汇编》，新增课程思政示范课程14门，制定《铜陵学院&lt;习近平谈治国理政&gt;多语种版本“三进”工作实施方案》，积极开展《理解当代中国》系列教材研究，组织教师参加《理解当代中国》多语种系列教材的培训，并在外语类课程教学中融入课程思政元素，打造课程思政建设高阶版。</w:t>
      </w:r>
    </w:p>
    <w:p>
      <w:pPr>
        <w:shd w:val="clear" w:color="auto" w:fill="FFFFFF"/>
        <w:spacing w:line="400" w:lineRule="exact"/>
        <w:outlineLvl w:val="0"/>
        <w:rPr>
          <w:rFonts w:hint="eastAsia" w:ascii="宋体" w:hAnsi="宋体" w:eastAsia="宋体" w:cs="宋体"/>
          <w:b/>
          <w:bCs/>
          <w:color w:val="000000"/>
          <w:sz w:val="28"/>
          <w:szCs w:val="28"/>
          <w:shd w:val="clear" w:color="auto" w:fill="FFFFFF"/>
          <w:lang w:bidi="ar"/>
        </w:rPr>
      </w:pPr>
      <w:r>
        <w:rPr>
          <w:rFonts w:hint="eastAsia" w:ascii="宋体" w:hAnsi="宋体" w:eastAsia="宋体" w:cs="宋体"/>
          <w:b/>
          <w:bCs/>
          <w:color w:val="000000"/>
          <w:sz w:val="28"/>
          <w:szCs w:val="28"/>
          <w:shd w:val="clear" w:color="auto" w:fill="FFFFFF"/>
          <w:lang w:bidi="ar"/>
        </w:rPr>
        <w:t>（四）传承弘扬沈浩精神</w:t>
      </w:r>
    </w:p>
    <w:p>
      <w:pPr>
        <w:shd w:val="clear" w:color="auto" w:fill="FFFFFF"/>
        <w:spacing w:line="400" w:lineRule="exact"/>
        <w:ind w:firstLine="480" w:firstLineChars="200"/>
        <w:outlineLvl w:val="0"/>
        <w:rPr>
          <w:rFonts w:hint="eastAsia" w:ascii="宋体" w:hAnsi="宋体" w:eastAsia="宋体" w:cs="宋体"/>
          <w:sz w:val="24"/>
          <w:szCs w:val="24"/>
        </w:rPr>
      </w:pPr>
      <w:r>
        <w:rPr>
          <w:rFonts w:ascii="宋体" w:hAnsi="宋体" w:eastAsia="宋体" w:cs="宋体"/>
          <w:sz w:val="24"/>
          <w:szCs w:val="24"/>
        </w:rPr>
        <w:t>学校秉承“明德尚能、博学日新”校训，坚持把沈浩精神融入人才培养全过程，建成了沈浩精神传承基地、“沈浩之家”学生党员发展服务中心和“沈浩精神传承网”，设立了沈浩党支部，引导学生树立坚定的理想信念和正确的世界观、人生观、价值观，学校获批省“三全育人”综合改革试点高校并深入推进综合改革工作，1个学生党支部入选全国党建工作“样板支部”培育创建单位。</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二、聚焦高质量内涵发展，着力加强学科专业建设</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（一）“双万计划”申报成效突出</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深刻把握新时代高校改革核心要义，牢牢抓住全面提高人才培养能力这个核心点，深入推进一流本科专业建设，完善一流专业建设机制。会计学、国际经济与贸易、计算机科学与技术、广告学4个专业获批国家级一流本科专业建设点。会计学、国际经济与贸易、计算机科学与技术、广告学、金融学、税收学、经济学、市场营销、财务管理、电气工程及其自动化、机械设计制造及其自动化、自动化、商务英语、法学等14个专业2023年起纳入安徽省第一批次本科招生。</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（二）教育教学改革有力有效</w:t>
      </w:r>
    </w:p>
    <w:p>
      <w:pPr>
        <w:shd w:val="clear" w:color="auto" w:fill="FFFFFF"/>
        <w:spacing w:line="400" w:lineRule="exact"/>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加大专业调整力度，新增省级提升专业服务十大新兴产业项目2个、传统专业改造提升项目6个、“六卓越一拔尖”卓越人才培养项目6项、现代产业学院5个、新文科、新工科研究与改革项目8项，加大高峰学科培育力度，工商管理和材料科学与工程两个学科获批安徽省应用型高峰培育学科。</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 xml:space="preserve">三、聚焦锻造“金师”，着力促进教师能力提升 </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（一）抓培训促进教师学技能</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以训促学”，2022年以来学校组织开展“一流课程”申报研讨会、智慧教室使用培训和高校教师课程思政教学能力培训等各类教师专业能力培训活动20余场，参与教师人数达2000余人次。通过培训，引领教师树牢“以学生为中心”的教学理念，熟练使用雨课堂、学习通、中国大学MOOC等智慧教学平台，提高了课堂教学实效。</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（二）抓竞赛促进教师长本领</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坚持“以赛促教”，采用线上、线下相结合的方式，首次分设课堂教学和实践教学两个赛道，成功举办了2022、2023年青年教师教学竞赛，点燃了广大教师争做新时代“大先生”的激情，不断造就一支有理想信念、有道德情操、有扎实学识、有仁爱之心的高素质、专业化教师队伍。2022年9月-2023年9月我校教师在全国高等学校测绘类专业教师教学创新大赛、安徽省教师教学创新大赛、安徽省本科师范院校教师智慧教学大赛等省级以上教学大赛中，获特等奖1项、一等奖6项、二等奖10项、三等奖14项。</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四、聚焦创新创业教育，构建双创实践育人体系</w:t>
      </w:r>
    </w:p>
    <w:p>
      <w:p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（一）多元浸润，协同发展</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学校践行“育人为本、能力为重、多元浸润、学产协同”的创新创业实践育人理念，打造创新创业文化（我要创）；构造校城共生的双创生态环境（一起创）；形成“文化引领 校城共生”的双创实践育人新模式，提升高校双创培养能力（我能创），支撑地方应用型人才培养。《多元浸润 学产协同 应用型高校创新创业教育体系的创新与实践》获安徽省教学成果特等奖，《创业基础》获批国家一流课程。</w:t>
      </w:r>
    </w:p>
    <w:p>
      <w:pPr>
        <w:numPr>
          <w:ilvl w:val="0"/>
          <w:numId w:val="1"/>
        </w:numPr>
        <w:shd w:val="clear" w:color="auto" w:fill="FFFFFF"/>
        <w:spacing w:line="400" w:lineRule="exact"/>
        <w:outlineLvl w:val="0"/>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双创育人，成果显著</w:t>
      </w:r>
    </w:p>
    <w:p>
      <w:pPr>
        <w:shd w:val="clear" w:color="auto" w:fill="FFFFFF"/>
        <w:spacing w:line="400" w:lineRule="exact"/>
        <w:ind w:firstLine="480" w:firstLineChars="200"/>
        <w:outlineLvl w:val="0"/>
        <w:rPr>
          <w:rFonts w:ascii="黑体" w:hAnsi="宋体" w:eastAsia="黑体" w:cs="黑体"/>
          <w:b/>
          <w:bCs/>
          <w:color w:val="000000"/>
          <w:sz w:val="36"/>
          <w:szCs w:val="36"/>
          <w:shd w:val="clear" w:color="auto" w:fill="FFFFFF"/>
        </w:rPr>
      </w:pPr>
      <w:r>
        <w:rPr>
          <w:rFonts w:hint="eastAsia" w:ascii="宋体" w:hAnsi="宋体" w:eastAsia="宋体" w:cs="宋体"/>
          <w:color w:val="000000"/>
          <w:sz w:val="24"/>
          <w:shd w:val="clear" w:color="auto" w:fill="FFFFFF"/>
          <w:lang w:bidi="ar"/>
        </w:rPr>
        <w:t>2023年，学校立项国家级大创项目130项，省级立项393项，校级立项近500项，参与学生达近7000人次，学生发表学术论文80多篇，958名大学生开展SYB和网络创业培训。目前校内外创新创业实践基地达到27个，校内创客工作室达到23个，创业孵化基地入驻企业14家。建立了110人的校内外导师的动态库，有82人次获人社部认定的创业讲师、网创讲师等师资证书、1人获全国创业讲师50强称号，13名导师入选全国优秀创新创业导师人才库，安徽省五星级创业培训讲师1人、安徽省四星级创业培训讲师1人、安徽省三星级创业培训讲师4人、铜陵市人社局认定的市级创业指导大师工作室1个。</w:t>
      </w:r>
    </w:p>
    <w:p>
      <w:pPr>
        <w:shd w:val="clear" w:color="auto" w:fill="FFFFFF"/>
        <w:spacing w:line="500" w:lineRule="exact"/>
        <w:jc w:val="center"/>
        <w:outlineLvl w:val="0"/>
        <w:rPr>
          <w:rFonts w:ascii="黑体" w:hAnsi="宋体" w:eastAsia="黑体" w:cs="黑体"/>
          <w:b/>
          <w:bCs/>
          <w:color w:val="000000"/>
          <w:sz w:val="36"/>
          <w:szCs w:val="36"/>
          <w:shd w:val="clear" w:color="auto" w:fill="FFFFFF"/>
        </w:rPr>
      </w:pPr>
      <w:r>
        <w:rPr>
          <w:rFonts w:hint="eastAsia" w:ascii="黑体" w:hAnsi="宋体" w:eastAsia="黑体" w:cs="黑体"/>
          <w:b/>
          <w:bCs/>
          <w:color w:val="000000"/>
          <w:sz w:val="36"/>
          <w:szCs w:val="36"/>
          <w:shd w:val="clear" w:color="auto" w:fill="FFFFFF"/>
          <w:lang w:bidi="ar"/>
        </w:rPr>
        <w:t xml:space="preserve"> </w:t>
      </w:r>
    </w:p>
    <w:p>
      <w:pPr>
        <w:shd w:val="clear" w:color="auto" w:fill="FFFFFF"/>
        <w:spacing w:line="500" w:lineRule="exact"/>
        <w:jc w:val="center"/>
        <w:outlineLvl w:val="0"/>
        <w:rPr>
          <w:rFonts w:ascii="宋体" w:hAnsi="宋体" w:eastAsia="宋体" w:cs="宋体"/>
          <w:color w:val="000000"/>
          <w:sz w:val="24"/>
          <w:shd w:val="clear" w:color="auto" w:fill="FFFFFF"/>
        </w:rPr>
      </w:pPr>
      <w:r>
        <w:rPr>
          <w:rFonts w:hint="eastAsia" w:ascii="黑体" w:hAnsi="宋体" w:eastAsia="黑体" w:cs="黑体"/>
          <w:b/>
          <w:bCs/>
          <w:color w:val="000000"/>
          <w:sz w:val="36"/>
          <w:szCs w:val="36"/>
          <w:shd w:val="clear" w:color="auto" w:fill="FFFFFF"/>
          <w:lang w:bidi="ar"/>
        </w:rPr>
        <w:t>第八部分  存在的问题及解决措施</w:t>
      </w:r>
    </w:p>
    <w:p>
      <w:pPr>
        <w:shd w:val="clear" w:color="auto" w:fill="FFFFFF"/>
        <w:spacing w:line="400" w:lineRule="exact"/>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在学校党委行政的正确领导和各部门共同的努力下，2022—2023学年学校本科教学工作取得了较大进展。但与地方应用型大学高水平建设和硕士点立项建设的目标相比，仍存在一些问题和困难，主要表现在以下几个方面。</w:t>
      </w:r>
      <w:bookmarkStart w:id="123" w:name="_Toc19263"/>
      <w:bookmarkEnd w:id="123"/>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一、存在的问题</w:t>
      </w:r>
      <w:r>
        <w:rPr>
          <w:rFonts w:hint="eastAsia"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ind w:firstLine="482" w:firstLineChars="200"/>
        <w:outlineLvl w:val="0"/>
        <w:rPr>
          <w:rFonts w:ascii="宋体" w:hAnsi="宋体" w:eastAsia="宋体" w:cs="宋体"/>
          <w:color w:val="000000"/>
          <w:sz w:val="24"/>
          <w:shd w:val="clear" w:color="auto" w:fill="FFFFFF"/>
        </w:rPr>
      </w:pPr>
      <w:r>
        <w:rPr>
          <w:rFonts w:hint="eastAsia" w:ascii="宋体" w:hAnsi="宋体" w:eastAsia="宋体" w:cs="宋体"/>
          <w:b/>
          <w:bCs/>
          <w:color w:val="000000"/>
          <w:sz w:val="24"/>
          <w:shd w:val="clear" w:color="auto" w:fill="FFFFFF"/>
          <w:lang w:bidi="ar"/>
        </w:rPr>
        <w:t>专业内涵建设有待进一步加强，</w:t>
      </w:r>
      <w:r>
        <w:rPr>
          <w:rFonts w:hint="eastAsia" w:ascii="宋体" w:hAnsi="宋体" w:eastAsia="宋体" w:cs="宋体"/>
          <w:color w:val="000000"/>
          <w:sz w:val="24"/>
          <w:shd w:val="clear" w:color="auto" w:fill="FFFFFF"/>
          <w:lang w:bidi="ar"/>
        </w:rPr>
        <w:t>专业结构还需进一步优化，服务战略新兴产业专业还较少；个别专业发展方向不清晰，缺乏活力和特色；人才培养方案还需深层次优化，国家级一流课程和国家级规划教材还需要进一步刷新，国家级教学项目、国家级教学名师等还有待突破。</w:t>
      </w:r>
      <w:r>
        <w:rPr>
          <w:rFonts w:hint="eastAsia" w:ascii="宋体" w:hAnsi="宋体" w:eastAsia="宋体" w:cs="宋体"/>
          <w:b/>
          <w:bCs/>
          <w:color w:val="000000"/>
          <w:sz w:val="24"/>
          <w:shd w:val="clear" w:color="auto" w:fill="FFFFFF"/>
          <w:lang w:bidi="ar"/>
        </w:rPr>
        <w:t>质量文化建设有待加强，</w:t>
      </w:r>
      <w:r>
        <w:rPr>
          <w:rFonts w:hint="eastAsia" w:ascii="宋体" w:hAnsi="宋体" w:eastAsia="宋体" w:cs="宋体"/>
          <w:color w:val="000000"/>
          <w:sz w:val="24"/>
          <w:shd w:val="clear" w:color="auto" w:fill="FFFFFF"/>
          <w:lang w:bidi="ar"/>
        </w:rPr>
        <w:t xml:space="preserve">人才培养过程中各关键环节的质量标准还需进一步完善；学校的专业评估、常态监测等实际效果还不够明显，作用有待进一步发挥；教师的质量意识有待加强，质量文化还需进一步培育。 </w:t>
      </w:r>
    </w:p>
    <w:p>
      <w:pPr>
        <w:shd w:val="clear" w:color="auto" w:fill="FFFFFF"/>
        <w:spacing w:line="400" w:lineRule="exact"/>
        <w:outlineLvl w:val="1"/>
        <w:rPr>
          <w:rFonts w:ascii="Times New Roman" w:hAnsi="Times New Roman" w:eastAsia="黑体" w:cs="Times New Roman"/>
          <w:color w:val="000000"/>
          <w:sz w:val="30"/>
          <w:szCs w:val="30"/>
          <w:shd w:val="clear" w:color="auto" w:fill="FFFFFF"/>
        </w:rPr>
      </w:pPr>
      <w:r>
        <w:rPr>
          <w:rFonts w:hint="eastAsia" w:ascii="黑体" w:hAnsi="宋体" w:eastAsia="黑体" w:cs="黑体"/>
          <w:color w:val="000000"/>
          <w:sz w:val="30"/>
          <w:szCs w:val="30"/>
          <w:shd w:val="clear" w:color="auto" w:fill="FFFFFF"/>
          <w:lang w:bidi="ar"/>
        </w:rPr>
        <w:t>二、对策和措施</w:t>
      </w:r>
      <w:r>
        <w:rPr>
          <w:rFonts w:hint="eastAsia" w:ascii="Times New Roman" w:hAnsi="Times New Roman" w:eastAsia="黑体" w:cs="Times New Roman"/>
          <w:color w:val="000000"/>
          <w:sz w:val="30"/>
          <w:szCs w:val="30"/>
          <w:shd w:val="clear" w:color="auto" w:fill="FFFFFF"/>
          <w:lang w:bidi="ar"/>
        </w:rPr>
        <w:t xml:space="preserve"> </w:t>
      </w:r>
    </w:p>
    <w:p>
      <w:pPr>
        <w:shd w:val="clear" w:color="auto" w:fill="FFFFFF"/>
        <w:spacing w:line="400" w:lineRule="exact"/>
        <w:jc w:val="left"/>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（一）围绕十大新兴产业，全面推进专业结构改革</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一是根据学校的办学定位、学科专业优势，积极推进微专业改革。围绕产业发展趋势和市场需求变化，以服务十大新兴产业微专业建设试点为切口，依托优势学科和特色专业，深化政产学研金服用合作，结合现代产业学院、企业订单班、创新创业学院等平台建设，以需求为导向与高校、科研机构、行业企业联合组建教学团队，合作开发微专业，提炼开设一组专业核心课程，通过灵活、系统的培养，满足学生个性化发展和多样化需求，提高学生知识结构的复合性和从业竞争力，提升与社会需求的匹配度。二是加强专业内涵建设。坚持以“学生中心、产出导向、持续改进”的认证理念为引领，纵深开展专业认证工作，出台《铜陵学院工程教育专业认证工作实施办法》，建立专业认证的激励与保障制度，形成多部门联动、跨学院协作的专业认证工作局面，构建多元化、个性化、高水平的人才培养体系，突出专业特色，推动学校专业认证取得新突破。三是聚焦一流本科专业建设。对接一流专业建设“双万计划”，推进新工科、新文科建设，引领带动教育教学改革不断深化，遴选一批校级一流本科专业，形成国家级、省级、校级三个梯队的专业建设体系，从而带动学校专业建设质量整体提升。</w:t>
      </w:r>
    </w:p>
    <w:p>
      <w:pPr>
        <w:shd w:val="clear" w:color="auto" w:fill="FFFFFF"/>
        <w:spacing w:line="400" w:lineRule="exact"/>
        <w:jc w:val="left"/>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（二）围绕一流课程建设，全面开展一流教材建设</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在现有一流课程建设成效基础上，出台《铜陵学院推进一流本科课程建设实施方案》，对标国家和省级一流课程建设“双万计划”，加大国家级、省级一流课程申报与建设力度，建设五大“金课”，遴选一批校级一流课程，形成国家、省级、校级一流本科课程三级建设体系，着力构建从课程体系顶层设计到课堂实施的一流课程建设途径和长效机制。同时强化教材建设与管理，积极开展“十四五”本科规划教材建设和校级优秀教材评选，组建一流教材编写团队，加强省级一流教材建设，深度校企合作，共建一批应用型高水平特色教材，树立课程建设新理念，完善以质量为导向的课程建设激励机制，全面开展一流教材建设。</w:t>
      </w:r>
    </w:p>
    <w:p>
      <w:pPr>
        <w:shd w:val="clear" w:color="auto" w:fill="FFFFFF"/>
        <w:spacing w:line="400" w:lineRule="exact"/>
        <w:jc w:val="left"/>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（三）围绕教育教学改革，全面改革人才培养模式</w:t>
      </w:r>
    </w:p>
    <w:p>
      <w:pPr>
        <w:shd w:val="clear" w:color="auto" w:fill="FFFFFF"/>
        <w:spacing w:line="400" w:lineRule="exact"/>
        <w:ind w:firstLine="480" w:firstLineChars="200"/>
        <w:outlineLvl w:val="0"/>
        <w:rPr>
          <w:rFonts w:ascii="仿宋" w:hAnsi="仿宋" w:eastAsia="仿宋" w:cs="仿宋"/>
          <w:color w:val="000000"/>
          <w:sz w:val="32"/>
          <w:szCs w:val="32"/>
          <w:shd w:val="clear" w:color="auto" w:fill="FFFFFF"/>
        </w:rPr>
      </w:pPr>
      <w:r>
        <w:rPr>
          <w:rFonts w:hint="eastAsia" w:ascii="宋体" w:hAnsi="宋体" w:eastAsia="宋体" w:cs="宋体"/>
          <w:color w:val="000000"/>
          <w:sz w:val="24"/>
          <w:shd w:val="clear" w:color="auto" w:fill="FFFFFF"/>
          <w:lang w:bidi="ar"/>
        </w:rPr>
        <w:t xml:space="preserve">为深入贯彻中共中央、国务院《深化新时代教育评价改革总体方案》，统筹推进教育教学综合改革，推进学校教育综合改革任务落实落地。以改革教师评价、学生评价为导向，完善新时代教育教学制度体系，促进教育治理现代化。深化课程教学改革，结构与内涵并重推进课程资源革新、知识体系更新。实施大学英语、大学计算机课程分级分类教学改革，全面推广线上线下混合式教学新模式，持续提升教育教学质量，深入实施“五大行动”，构建五育融合人才培养体系，完善“第二课堂成绩单”制度，扎实推进德育、智育、美育、体育和劳动教育，提高学生综合素质，促进学生德智体美劳全面发展，持续深化本科毕业论文（设计）改革工作，完善教育部本科毕业论文（设计）抽检工作。认真开展实践教学专项检查，全面改革人才培养模式。 </w:t>
      </w:r>
    </w:p>
    <w:p>
      <w:pPr>
        <w:shd w:val="clear" w:color="auto" w:fill="FFFFFF"/>
        <w:spacing w:line="400" w:lineRule="exact"/>
        <w:jc w:val="left"/>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lang w:bidi="ar"/>
        </w:rPr>
        <w:t>（四）围绕质量保障体系，全面培育一流质量文化</w:t>
      </w:r>
    </w:p>
    <w:p>
      <w:pPr>
        <w:shd w:val="clear" w:color="auto" w:fill="FFFFFF"/>
        <w:spacing w:line="400" w:lineRule="exact"/>
        <w:ind w:firstLine="480" w:firstLineChars="200"/>
        <w:outlineLvl w:val="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一是建立工作绩效考核激励机制。建立绩效分配、经费投入和业绩成效关联</w:t>
      </w:r>
    </w:p>
    <w:p>
      <w:pPr>
        <w:shd w:val="clear" w:color="auto" w:fill="FFFFFF"/>
        <w:spacing w:line="400" w:lineRule="exac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机制，进一步完善教师考核评价机制，加大考核力度，突出教师教育教学业绩和成果在各方面的比重，充分发挥绩效考核的杠杆调节作用，促进本科教育教学的精力投入、教学成果产出和教学质量的有效提升。二是培育质量文化。把人才培养能力和培养质量作为评价的首要指标，坚持“学生中心、产出导向、持续改进”的理念，形成以提高人才培养能力和培养质量为核心的质量文化，并将追求卓越内化为全校师生的共同价值追求和自觉行为。三是强化教学质量实效评估机制建设。基于课程目标、毕业要求和培养目标达成度的要求和内在联系，建立科学合理的教学质量标准，重构以学生为中心的教学效果评价体系，健全“评价-反馈-改进”的质量保障机制，加大对教学大数据的分析力度，精准反馈，促进教学质量提升。</w:t>
      </w:r>
    </w:p>
    <w:p>
      <w:pPr>
        <w:shd w:val="clear" w:color="auto" w:fill="FFFFFF"/>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bidi="ar"/>
        </w:rPr>
        <w:t xml:space="preserve"> </w:t>
      </w:r>
    </w:p>
    <w:p>
      <w:pPr>
        <w:shd w:val="clear" w:color="auto" w:fill="FFFFFF"/>
        <w:spacing w:line="360" w:lineRule="auto"/>
        <w:rPr>
          <w:rFonts w:ascii="宋体" w:hAnsi="宋体" w:eastAsia="宋体" w:cs="宋体"/>
          <w:color w:val="000000"/>
          <w:sz w:val="24"/>
          <w:shd w:val="clear" w:color="auto" w:fill="FFFFFF"/>
        </w:rPr>
      </w:pPr>
      <w:bookmarkStart w:id="124" w:name="_GoBack"/>
      <w:bookmarkEnd w:id="124"/>
      <w:r>
        <w:rPr>
          <w:rFonts w:hint="eastAsia" w:ascii="宋体" w:hAnsi="宋体" w:eastAsia="宋体" w:cs="宋体"/>
          <w:color w:val="000000"/>
          <w:sz w:val="24"/>
          <w:shd w:val="clear" w:color="auto" w:fill="FFFFFF"/>
          <w:lang w:bidi="ar"/>
        </w:rPr>
        <w:t xml:space="preserve">附件： </w:t>
      </w:r>
    </w:p>
    <w:p>
      <w:pPr>
        <w:shd w:val="clear" w:color="auto" w:fill="FFFFFF"/>
        <w:spacing w:line="500" w:lineRule="exact"/>
        <w:jc w:val="center"/>
        <w:rPr>
          <w:rFonts w:ascii="黑体" w:hAnsi="宋体" w:eastAsia="黑体" w:cs="黑体"/>
          <w:b/>
          <w:bCs/>
          <w:sz w:val="36"/>
          <w:szCs w:val="36"/>
          <w:shd w:val="clear" w:color="auto" w:fill="FFFFFF"/>
        </w:rPr>
      </w:pPr>
      <w:r>
        <w:rPr>
          <w:rFonts w:hint="eastAsia" w:ascii="黑体" w:hAnsi="宋体" w:eastAsia="黑体" w:cs="黑体"/>
          <w:b/>
          <w:bCs/>
          <w:sz w:val="36"/>
          <w:szCs w:val="36"/>
          <w:shd w:val="clear" w:color="auto" w:fill="FFFFFF"/>
          <w:lang w:bidi="ar"/>
        </w:rPr>
        <w:t>铜陵学院2022-2023学年本科教学</w:t>
      </w:r>
    </w:p>
    <w:p>
      <w:pPr>
        <w:shd w:val="clear" w:color="auto" w:fill="FFFFFF"/>
        <w:spacing w:line="500" w:lineRule="exact"/>
        <w:jc w:val="center"/>
        <w:rPr>
          <w:rFonts w:ascii="宋体" w:hAnsi="宋体" w:eastAsia="宋体" w:cs="宋体"/>
          <w:b/>
          <w:sz w:val="24"/>
          <w:shd w:val="clear" w:color="auto" w:fill="FFFFFF"/>
        </w:rPr>
      </w:pPr>
      <w:r>
        <w:rPr>
          <w:rFonts w:hint="eastAsia" w:ascii="黑体" w:hAnsi="宋体" w:eastAsia="黑体" w:cs="黑体"/>
          <w:b/>
          <w:bCs/>
          <w:sz w:val="36"/>
          <w:szCs w:val="36"/>
          <w:shd w:val="clear" w:color="auto" w:fill="FFFFFF"/>
          <w:lang w:bidi="ar"/>
        </w:rPr>
        <w:t>质量报告支撑数据</w:t>
      </w:r>
    </w:p>
    <w:p>
      <w:pPr>
        <w:numPr>
          <w:ilvl w:val="0"/>
          <w:numId w:val="2"/>
        </w:numPr>
        <w:shd w:val="clear" w:color="auto" w:fill="FFFFFF"/>
        <w:spacing w:line="400" w:lineRule="exact"/>
        <w:jc w:val="left"/>
        <w:rPr>
          <w:rFonts w:ascii="宋体" w:hAnsi="宋体" w:eastAsia="宋体" w:cs="宋体"/>
          <w:color w:val="000000"/>
          <w:sz w:val="24"/>
          <w:shd w:val="clear" w:color="auto" w:fill="FFFFFF"/>
        </w:rPr>
      </w:pPr>
      <w:r>
        <w:rPr>
          <w:rFonts w:hint="eastAsia" w:ascii="宋体" w:hAnsi="宋体" w:eastAsia="宋体" w:cs="宋体"/>
          <w:b/>
          <w:szCs w:val="21"/>
          <w:shd w:val="clear" w:color="auto" w:fill="FFFFFF"/>
          <w:lang w:bidi="ar"/>
        </w:rPr>
        <w:t>本科生占全日制在校生总数的比例</w:t>
      </w:r>
    </w:p>
    <w:p>
      <w:pPr>
        <w:shd w:val="clear" w:color="auto" w:fill="FFFFFF"/>
        <w:spacing w:line="400" w:lineRule="exact"/>
        <w:ind w:firstLine="420" w:firstLineChars="200"/>
        <w:jc w:val="left"/>
        <w:rPr>
          <w:rFonts w:ascii="宋体" w:hAnsi="宋体" w:eastAsia="宋体" w:cs="宋体"/>
          <w:szCs w:val="21"/>
          <w:shd w:val="clear" w:color="auto" w:fill="FFFFFF"/>
        </w:rPr>
      </w:pPr>
      <w:r>
        <w:rPr>
          <w:rFonts w:hint="eastAsia" w:ascii="宋体" w:hAnsi="宋体" w:eastAsia="宋体" w:cs="宋体"/>
          <w:szCs w:val="21"/>
          <w:shd w:val="clear" w:color="auto" w:fill="FFFFFF"/>
          <w:lang w:bidi="ar"/>
        </w:rPr>
        <w:t>全日制在校生总规模为21368人，本科生数占全日制在校生总数的比例为100.00%。</w:t>
      </w:r>
    </w:p>
    <w:p>
      <w:pPr>
        <w:numPr>
          <w:ilvl w:val="0"/>
          <w:numId w:val="2"/>
        </w:numPr>
        <w:shd w:val="clear" w:color="auto" w:fill="FFFFFF"/>
        <w:spacing w:line="400" w:lineRule="exact"/>
        <w:jc w:val="left"/>
        <w:rPr>
          <w:rFonts w:ascii="宋体" w:hAnsi="宋体" w:eastAsia="宋体" w:cs="宋体"/>
          <w:b/>
          <w:szCs w:val="21"/>
          <w:shd w:val="clear" w:color="auto" w:fill="FFFFFF"/>
        </w:rPr>
      </w:pPr>
      <w:r>
        <w:rPr>
          <w:rFonts w:hint="eastAsia" w:ascii="宋体" w:hAnsi="宋体" w:eastAsia="宋体" w:cs="宋体"/>
          <w:b/>
          <w:szCs w:val="21"/>
          <w:shd w:val="clear" w:color="auto" w:fill="FFFFFF"/>
          <w:lang w:bidi="ar"/>
        </w:rPr>
        <w:t>教师数量及结构</w:t>
      </w:r>
    </w:p>
    <w:p>
      <w:pPr>
        <w:shd w:val="clear" w:color="auto" w:fill="FFFFFF"/>
        <w:spacing w:line="400" w:lineRule="exact"/>
        <w:ind w:firstLine="420" w:firstLineChars="200"/>
        <w:jc w:val="left"/>
        <w:rPr>
          <w:rFonts w:ascii="宋体" w:hAnsi="宋体" w:eastAsia="宋体" w:cs="宋体"/>
          <w:szCs w:val="21"/>
          <w:shd w:val="clear" w:color="auto" w:fill="FFFFFF"/>
        </w:rPr>
      </w:pPr>
      <w:r>
        <w:rPr>
          <w:rFonts w:hint="eastAsia" w:ascii="宋体" w:hAnsi="宋体" w:eastAsia="宋体" w:cs="宋体"/>
          <w:szCs w:val="21"/>
          <w:shd w:val="clear" w:color="auto" w:fill="FFFFFF"/>
          <w:lang w:bidi="ar"/>
        </w:rPr>
        <w:t>专任教师903人，其中正高88人，占</w:t>
      </w:r>
      <w:r>
        <w:rPr>
          <w:rFonts w:ascii="Times New Roman" w:hAnsi="Times New Roman" w:eastAsia="宋体" w:cs="Times New Roman"/>
          <w:color w:val="000000"/>
          <w:szCs w:val="21"/>
          <w:shd w:val="clear" w:color="auto" w:fill="FFFFFF"/>
          <w:lang w:bidi="ar"/>
        </w:rPr>
        <w:t>9.75</w:t>
      </w:r>
      <w:r>
        <w:rPr>
          <w:rFonts w:hint="eastAsia" w:ascii="宋体" w:hAnsi="宋体" w:eastAsia="宋体" w:cs="宋体"/>
          <w:szCs w:val="21"/>
          <w:shd w:val="clear" w:color="auto" w:fill="FFFFFF"/>
          <w:lang w:bidi="ar"/>
        </w:rPr>
        <w:t>%；副高243人，占</w:t>
      </w:r>
      <w:r>
        <w:rPr>
          <w:rFonts w:ascii="Times New Roman" w:hAnsi="Times New Roman" w:eastAsia="宋体" w:cs="Times New Roman"/>
          <w:color w:val="000000"/>
          <w:szCs w:val="21"/>
          <w:shd w:val="clear" w:color="auto" w:fill="FFFFFF"/>
          <w:lang w:bidi="ar"/>
        </w:rPr>
        <w:t>27.35</w:t>
      </w:r>
      <w:r>
        <w:rPr>
          <w:rFonts w:hint="eastAsia" w:ascii="宋体" w:hAnsi="宋体" w:eastAsia="宋体" w:cs="宋体"/>
          <w:szCs w:val="21"/>
          <w:shd w:val="clear" w:color="auto" w:fill="FFFFFF"/>
          <w:lang w:bidi="ar"/>
        </w:rPr>
        <w:t>%。</w:t>
      </w:r>
    </w:p>
    <w:p>
      <w:pPr>
        <w:jc w:val="left"/>
        <w:rPr>
          <w:rFonts w:ascii="Times New Roman" w:hAnsi="Times New Roman" w:cs="Times New Roman"/>
          <w:b/>
          <w:bCs/>
          <w:color w:val="000000"/>
          <w:szCs w:val="21"/>
        </w:rPr>
      </w:pPr>
      <w:r>
        <w:rPr>
          <w:rFonts w:hint="eastAsia" w:ascii="宋体" w:hAnsi="宋体" w:eastAsia="宋体" w:cs="宋体"/>
          <w:b/>
          <w:bCs/>
          <w:color w:val="000000"/>
          <w:szCs w:val="21"/>
          <w:lang w:bidi="ar"/>
        </w:rPr>
        <w:t>（1）全校整体情况</w:t>
      </w:r>
    </w:p>
    <w:p>
      <w:pPr>
        <w:jc w:val="center"/>
        <w:rPr>
          <w:rFonts w:ascii="宋体" w:hAnsi="宋体" w:eastAsia="宋体" w:cs="宋体"/>
          <w:b/>
          <w:bCs/>
          <w:color w:val="000000"/>
          <w:szCs w:val="21"/>
        </w:rPr>
      </w:pPr>
      <w:r>
        <w:rPr>
          <w:rFonts w:hint="eastAsia" w:ascii="宋体" w:hAnsi="宋体" w:eastAsia="宋体" w:cs="宋体"/>
          <w:b/>
          <w:bCs/>
          <w:color w:val="000000"/>
          <w:szCs w:val="21"/>
          <w:lang w:bidi="ar"/>
        </w:rPr>
        <w:t>附表1 全校教师数量及结构统计表</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4"/>
        <w:gridCol w:w="2096"/>
        <w:gridCol w:w="1496"/>
        <w:gridCol w:w="1135"/>
        <w:gridCol w:w="1475"/>
        <w:gridCol w:w="1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32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lang w:bidi="ar"/>
              </w:rPr>
              <w:t>项目</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专任教师</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外聘教师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32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数量</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比例（%）</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lang w:bidi="ar"/>
              </w:rPr>
              <w:t>数量</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总计</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903</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ascii="Times New Roman" w:hAnsi="Times New Roman" w:eastAsia="宋体" w:cs="Times New Roman"/>
                <w:color w:val="000000"/>
                <w:szCs w:val="21"/>
                <w:lang w:bidi="ar"/>
              </w:rPr>
              <w:t>268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职称</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正高级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88</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9.75</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其中教授</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79</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8.75</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副高级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247</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27.35</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42.54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其中副教授</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227</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25.14</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中级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364</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40.31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其中讲师</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345</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38.21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44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16.42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初级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12.29</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7.84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其中助教</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103</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11.41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未评级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93</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10.30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最高学位</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博士</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203</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22.48</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硕士</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607</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67.22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169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学士</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82</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9.08</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74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无学位</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1.22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年龄</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35岁及以下</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358</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39.65</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36-45岁</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281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31.12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117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43.66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46-55岁</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207</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22.92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72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26.87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64"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56岁及以上</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57</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6.31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17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6.34</w:t>
            </w:r>
          </w:p>
        </w:tc>
      </w:tr>
    </w:tbl>
    <w:p>
      <w:pPr>
        <w:jc w:val="left"/>
        <w:rPr>
          <w:rFonts w:ascii="宋体" w:hAnsi="宋体" w:eastAsia="宋体" w:cs="宋体"/>
          <w:b/>
          <w:bCs/>
          <w:color w:val="000000"/>
          <w:szCs w:val="21"/>
        </w:rPr>
      </w:pPr>
      <w:r>
        <w:rPr>
          <w:rFonts w:hint="eastAsia" w:ascii="宋体" w:hAnsi="宋体" w:eastAsia="宋体" w:cs="宋体"/>
          <w:b/>
          <w:bCs/>
          <w:color w:val="000000"/>
          <w:szCs w:val="21"/>
          <w:lang w:bidi="ar"/>
        </w:rPr>
        <w:t xml:space="preserve"> </w:t>
      </w:r>
    </w:p>
    <w:p>
      <w:pPr>
        <w:jc w:val="left"/>
        <w:rPr>
          <w:rFonts w:ascii="Times New Roman" w:hAnsi="Times New Roman" w:cs="Times New Roman"/>
          <w:b/>
          <w:bCs/>
          <w:color w:val="000000"/>
          <w:szCs w:val="21"/>
        </w:rPr>
      </w:pPr>
      <w:r>
        <w:rPr>
          <w:rFonts w:hint="eastAsia" w:ascii="宋体" w:hAnsi="宋体" w:eastAsia="宋体" w:cs="宋体"/>
          <w:b/>
          <w:bCs/>
          <w:color w:val="000000"/>
          <w:szCs w:val="21"/>
          <w:lang w:bidi="ar"/>
        </w:rPr>
        <w:t>（2）分专业情况</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附表2 分专业专任教师数量情况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1"/>
        <w:gridCol w:w="1384"/>
        <w:gridCol w:w="1138"/>
        <w:gridCol w:w="792"/>
        <w:gridCol w:w="1202"/>
        <w:gridCol w:w="944"/>
        <w:gridCol w:w="1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专业代码</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专业名称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专任教师数量</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生师比</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近五年新进教师</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双师型教师</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具有行业企业背景教师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26.80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33.86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31.60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020109T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数字经济</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32.64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42.00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40.57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34.86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020305T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金融数学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26.40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34.47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22.75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34.60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20.26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18.48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34.63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21.26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37.60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39.62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080217T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增材制造工程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28.67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44.71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46.14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41.07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42.70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080710T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集成电路设计与集成系统</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080717T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人工智能</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19.60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16.88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26.24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080905</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物联网工程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46.56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30.44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20.64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遥感科学与技术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11.86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29.11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38.29</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15.25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39.70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45.33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28.70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35.18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工业工程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30.33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28.17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120803T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12.61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130212T</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音乐教育</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20.43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25.88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36.83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29.00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130508</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数字媒体艺术</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28.40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bl>
    <w:p>
      <w:pPr>
        <w:jc w:val="left"/>
        <w:rPr>
          <w:rFonts w:ascii="Times New Roman" w:hAnsi="Times New Roman" w:cs="Times New Roman"/>
          <w:color w:val="000000"/>
          <w:szCs w:val="21"/>
        </w:rPr>
      </w:pPr>
      <w:r>
        <w:rPr>
          <w:rFonts w:ascii="Times New Roman" w:hAnsi="Times New Roman" w:cs="Times New Roman"/>
          <w:color w:val="000000"/>
          <w:szCs w:val="21"/>
          <w:lang w:bidi="ar"/>
        </w:rPr>
        <w:t xml:space="preserve"> </w:t>
      </w:r>
    </w:p>
    <w:p>
      <w:pPr>
        <w:jc w:val="center"/>
        <w:rPr>
          <w:rFonts w:ascii="宋体" w:hAnsi="宋体" w:eastAsia="宋体" w:cs="宋体"/>
          <w:b/>
          <w:bCs/>
          <w:color w:val="000000"/>
          <w:szCs w:val="21"/>
        </w:rPr>
      </w:pPr>
      <w:r>
        <w:rPr>
          <w:rFonts w:hint="eastAsia" w:ascii="宋体" w:hAnsi="宋体" w:eastAsia="宋体" w:cs="宋体"/>
          <w:b/>
          <w:bCs/>
          <w:color w:val="000000"/>
          <w:szCs w:val="21"/>
          <w:lang w:bidi="ar"/>
        </w:rPr>
        <w:t>附表3 分专业专任教师职称、学历结构</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5"/>
        <w:gridCol w:w="1650"/>
        <w:gridCol w:w="875"/>
        <w:gridCol w:w="671"/>
        <w:gridCol w:w="949"/>
        <w:gridCol w:w="600"/>
        <w:gridCol w:w="840"/>
        <w:gridCol w:w="600"/>
        <w:gridCol w:w="555"/>
        <w:gridCol w:w="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jc w:val="center"/>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专业代码</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专业名称</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专任教师总数</w:t>
            </w:r>
          </w:p>
        </w:tc>
        <w:tc>
          <w:tcPr>
            <w:tcW w:w="30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职称结构</w:t>
            </w:r>
          </w:p>
        </w:tc>
        <w:tc>
          <w:tcPr>
            <w:tcW w:w="19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学历结构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教授</w:t>
            </w:r>
          </w:p>
        </w:tc>
        <w:tc>
          <w:tcPr>
            <w:tcW w:w="600"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副教授</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中级及以下</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博士</w:t>
            </w:r>
          </w:p>
        </w:tc>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硕士</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学士及以下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数量</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授课教授比例（%）</w:t>
            </w:r>
          </w:p>
        </w:tc>
        <w:tc>
          <w:tcPr>
            <w:tcW w:w="600"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020109T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数字经济</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020305T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金融数学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080217T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增材制造工程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080710T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集成电路设计与集成系统</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080717T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人工智能</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物联网工程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遥感科学与技术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工业工程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120803T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130212T</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音乐教育</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数字媒体艺术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bl>
    <w:p>
      <w:pPr>
        <w:jc w:val="left"/>
        <w:rPr>
          <w:rFonts w:ascii="宋体" w:hAnsi="宋体" w:eastAsia="宋体" w:cs="宋体"/>
          <w:color w:val="000000"/>
          <w:sz w:val="24"/>
        </w:rPr>
      </w:pPr>
      <w:r>
        <w:rPr>
          <w:rFonts w:hint="eastAsia" w:ascii="宋体" w:hAnsi="宋体" w:eastAsia="宋体" w:cs="宋体"/>
          <w:color w:val="000000"/>
          <w:sz w:val="24"/>
          <w:lang w:bidi="ar"/>
        </w:rPr>
        <w:t xml:space="preserve"> </w:t>
      </w:r>
    </w:p>
    <w:p>
      <w:pPr>
        <w:numPr>
          <w:ilvl w:val="0"/>
          <w:numId w:val="3"/>
        </w:numPr>
        <w:jc w:val="left"/>
        <w:rPr>
          <w:rFonts w:ascii="宋体" w:hAnsi="宋体" w:eastAsia="宋体" w:cs="宋体"/>
          <w:b/>
          <w:bCs/>
          <w:color w:val="000000"/>
          <w:szCs w:val="21"/>
        </w:rPr>
      </w:pPr>
      <w:r>
        <w:rPr>
          <w:rFonts w:hint="eastAsia" w:ascii="宋体" w:hAnsi="宋体" w:eastAsia="宋体" w:cs="宋体"/>
          <w:b/>
          <w:bCs/>
          <w:color w:val="000000"/>
          <w:szCs w:val="21"/>
          <w:lang w:bidi="ar"/>
        </w:rPr>
        <w:t>专业设置及调整情况</w:t>
      </w:r>
    </w:p>
    <w:p>
      <w:pPr>
        <w:shd w:val="clear" w:color="auto" w:fill="FFFFFF"/>
        <w:spacing w:line="400" w:lineRule="exact"/>
        <w:ind w:firstLine="420" w:firstLineChars="200"/>
        <w:jc w:val="left"/>
        <w:rPr>
          <w:rFonts w:ascii="宋体" w:hAnsi="宋体" w:eastAsia="宋体" w:cs="宋体"/>
          <w:b/>
          <w:bCs/>
          <w:color w:val="000000"/>
          <w:szCs w:val="21"/>
          <w:shd w:val="clear" w:color="auto" w:fill="FFFFFF"/>
        </w:rPr>
      </w:pPr>
      <w:r>
        <w:rPr>
          <w:rFonts w:hint="eastAsia" w:ascii="宋体" w:hAnsi="宋体" w:eastAsia="宋体" w:cs="宋体"/>
          <w:szCs w:val="21"/>
          <w:shd w:val="clear" w:color="auto" w:fill="FFFFFF"/>
          <w:lang w:bidi="ar"/>
        </w:rPr>
        <w:t>学校招生的校内专业80个，停招的校内专业13个，停招的校内专业分别是：投资学（专升本）,跨境电子商务,人力资源管理（专升本）,电子商务（专升本）,国际经济与贸易（专升本）,商务英语（专升本）,物联网工程,数学与应用数学（师范类）,劳动与社会保障（专升本）,音乐表演,音乐学（师范）,工业工程,土木工程（专升本）。入选国家级一流专业4个、省级一流专业15个。入选“卓越工程人才”计划2.0专业13个，入选“卓越法治人才”计划2.0专业2个，入选“卓越新闻传播人才”计划2.0专业2个，入选“卓越教师”计划2.0专业2个。</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附表4  专业设置及调整情况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0"/>
        <w:gridCol w:w="1500"/>
        <w:gridCol w:w="336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本科专业总数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在招专业数</w:t>
            </w:r>
          </w:p>
        </w:tc>
        <w:tc>
          <w:tcPr>
            <w:tcW w:w="33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新专业名单</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当年停招专业名单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67.0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62.0</w:t>
            </w:r>
          </w:p>
        </w:tc>
        <w:tc>
          <w:tcPr>
            <w:tcW w:w="33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数字经济</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数据科学与大数据技术</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应用统计学</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人工智能</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数字媒体艺术</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音乐教育</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音乐学</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集成电路设计与集成系统</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机器人工程</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增材制造工程</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工业工程</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遥感科学与技术</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物联网工程</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音乐学</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工业工程</w:t>
            </w:r>
          </w:p>
        </w:tc>
      </w:tr>
    </w:tbl>
    <w:p>
      <w:pPr>
        <w:jc w:val="left"/>
        <w:rPr>
          <w:rFonts w:ascii="Times New Roman" w:hAnsi="Times New Roman" w:cs="Times New Roman"/>
          <w:color w:val="000000"/>
          <w:szCs w:val="21"/>
        </w:rPr>
      </w:pPr>
      <w:r>
        <w:rPr>
          <w:rFonts w:ascii="Times New Roman" w:hAnsi="Times New Roman" w:cs="Times New Roman"/>
          <w:color w:val="000000"/>
          <w:szCs w:val="21"/>
          <w:lang w:bidi="ar"/>
        </w:rPr>
        <w:t xml:space="preserve"> </w:t>
      </w:r>
    </w:p>
    <w:p>
      <w:pPr>
        <w:numPr>
          <w:ilvl w:val="0"/>
          <w:numId w:val="3"/>
        </w:num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生师比</w:t>
      </w:r>
    </w:p>
    <w:p>
      <w:pPr>
        <w:spacing w:line="360" w:lineRule="auto"/>
        <w:ind w:firstLine="420" w:firstLineChars="200"/>
        <w:jc w:val="left"/>
        <w:rPr>
          <w:rFonts w:ascii="宋体" w:hAnsi="宋体" w:eastAsia="宋体" w:cs="宋体"/>
          <w:color w:val="000000"/>
          <w:sz w:val="24"/>
        </w:rPr>
      </w:pPr>
      <w:r>
        <w:rPr>
          <w:rFonts w:hint="eastAsia" w:ascii="宋体" w:hAnsi="宋体" w:eastAsia="宋体" w:cs="宋体"/>
          <w:color w:val="000000"/>
          <w:szCs w:val="21"/>
          <w:lang w:bidi="ar"/>
        </w:rPr>
        <w:t>全校整体生师比20.69，各专业生师比参见附表2。</w:t>
      </w:r>
    </w:p>
    <w:p>
      <w:pPr>
        <w:spacing w:line="360" w:lineRule="auto"/>
        <w:jc w:val="left"/>
        <w:rPr>
          <w:rFonts w:ascii="Times New Roman" w:hAnsi="Times New Roman" w:cs="Times New Roman"/>
          <w:b/>
          <w:bCs/>
          <w:color w:val="000000"/>
          <w:sz w:val="18"/>
          <w:szCs w:val="18"/>
        </w:rPr>
      </w:pPr>
      <w:r>
        <w:rPr>
          <w:rFonts w:hint="eastAsia" w:ascii="宋体" w:hAnsi="宋体" w:eastAsia="宋体" w:cs="宋体"/>
          <w:b/>
          <w:bCs/>
          <w:color w:val="000000"/>
          <w:sz w:val="18"/>
          <w:szCs w:val="18"/>
          <w:lang w:bidi="ar"/>
        </w:rPr>
        <w:t>5. 生均教学科研仪器设备值（元）</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学校现有教学、科研仪器设备资产总值1.93亿元 生均教学科研仪器设备值0.90万元。</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6. 当年新增教学科研仪器设备值（万元）</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当年新增教学科研仪器设备值1149.0万元，新增值达到教学科研仪器设备总值的6.32%。</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 xml:space="preserve"> 7. 生均图书（册）</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生均纸质图书</w:t>
      </w:r>
      <w:r>
        <w:rPr>
          <w:rFonts w:hint="eastAsia" w:ascii="宋体" w:hAnsi="宋体" w:eastAsia="宋体" w:cs="宋体"/>
          <w:color w:val="000000"/>
          <w:sz w:val="24"/>
          <w:lang w:bidi="ar"/>
        </w:rPr>
        <w:t>87.34</w:t>
      </w:r>
      <w:r>
        <w:rPr>
          <w:rFonts w:hint="eastAsia" w:ascii="宋体" w:hAnsi="宋体" w:eastAsia="宋体" w:cs="宋体"/>
          <w:color w:val="000000"/>
          <w:szCs w:val="21"/>
          <w:lang w:bidi="ar"/>
        </w:rPr>
        <w:t>册。拥有纸质图书187.38万册，当年新增92186.0册；拥有电子期刊196.32万册，学位论文751.74万册，音视频283201.0小时。2022年图书流通量达到4.65万本册，电子资源访问量88.39万次，当年电子资源下载量96.94万篇次。</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8. 电子图书（册）</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电子图书2773506册，电子期刊1963200册。</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9. 生均教学行政用房（其中生均实验室面积）</w:t>
      </w:r>
    </w:p>
    <w:p>
      <w:pPr>
        <w:spacing w:line="360" w:lineRule="auto"/>
        <w:ind w:firstLine="210"/>
        <w:jc w:val="left"/>
        <w:rPr>
          <w:rFonts w:ascii="宋体" w:hAnsi="宋体" w:eastAsia="宋体" w:cs="宋体"/>
          <w:color w:val="000000"/>
          <w:szCs w:val="21"/>
        </w:rPr>
      </w:pPr>
      <w:r>
        <w:rPr>
          <w:rFonts w:hint="eastAsia" w:ascii="宋体" w:hAnsi="宋体" w:eastAsia="宋体" w:cs="宋体"/>
          <w:color w:val="000000"/>
          <w:szCs w:val="21"/>
          <w:lang w:bidi="ar"/>
        </w:rPr>
        <w:t>生均教学行政用房面积为</w:t>
      </w:r>
      <w:r>
        <w:rPr>
          <w:rFonts w:hint="eastAsia" w:ascii="宋体" w:hAnsi="宋体" w:eastAsia="宋体" w:cs="宋体"/>
          <w:sz w:val="24"/>
          <w:u w:val="single"/>
          <w:lang w:bidi="ar"/>
        </w:rPr>
        <w:t>10.10</w:t>
      </w:r>
      <w:r>
        <w:rPr>
          <w:rFonts w:hint="eastAsia" w:ascii="宋体" w:hAnsi="宋体" w:eastAsia="宋体" w:cs="宋体"/>
          <w:color w:val="000000"/>
          <w:szCs w:val="21"/>
          <w:lang w:bidi="ar"/>
        </w:rPr>
        <w:t>（m²/生），生均实验、实习场所面积</w:t>
      </w:r>
      <w:r>
        <w:rPr>
          <w:rFonts w:hint="eastAsia" w:ascii="宋体" w:hAnsi="宋体" w:eastAsia="宋体" w:cs="宋体"/>
          <w:sz w:val="24"/>
          <w:u w:val="single"/>
          <w:lang w:bidi="ar"/>
        </w:rPr>
        <w:t>3.05</w:t>
      </w:r>
      <w:r>
        <w:rPr>
          <w:rFonts w:hint="eastAsia" w:ascii="宋体" w:hAnsi="宋体" w:eastAsia="宋体" w:cs="宋体"/>
          <w:sz w:val="24"/>
          <w:lang w:bidi="ar"/>
        </w:rPr>
        <w:t>（</w:t>
      </w:r>
      <w:r>
        <w:rPr>
          <w:rFonts w:hint="eastAsia" w:ascii="宋体" w:hAnsi="宋体" w:eastAsia="宋体" w:cs="宋体"/>
          <w:color w:val="000000"/>
          <w:szCs w:val="21"/>
          <w:lang w:bidi="ar"/>
        </w:rPr>
        <w:t>（m²/生）。</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10. 生均本科教学日常运行支出（元）</w:t>
      </w:r>
    </w:p>
    <w:p>
      <w:pPr>
        <w:spacing w:line="360" w:lineRule="auto"/>
        <w:ind w:firstLine="210" w:firstLineChars="100"/>
        <w:jc w:val="left"/>
        <w:rPr>
          <w:rFonts w:ascii="宋体" w:hAnsi="宋体" w:eastAsia="宋体" w:cs="宋体"/>
          <w:color w:val="000000"/>
          <w:szCs w:val="21"/>
        </w:rPr>
      </w:pPr>
      <w:r>
        <w:rPr>
          <w:rFonts w:hint="eastAsia" w:ascii="宋体" w:hAnsi="宋体" w:eastAsia="宋体" w:cs="宋体"/>
          <w:color w:val="000000"/>
          <w:szCs w:val="21"/>
          <w:lang w:bidi="ar"/>
        </w:rPr>
        <w:t>2022年教学日常运行支出为5276.28万元，生均本科教学日常运行支出为2459.29元。</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11. 本科专项教学经费</w:t>
      </w:r>
    </w:p>
    <w:p>
      <w:pPr>
        <w:spacing w:line="360" w:lineRule="auto"/>
        <w:ind w:firstLine="210"/>
        <w:jc w:val="left"/>
        <w:rPr>
          <w:rFonts w:ascii="宋体" w:hAnsi="宋体" w:eastAsia="宋体" w:cs="宋体"/>
          <w:color w:val="000000"/>
          <w:szCs w:val="21"/>
        </w:rPr>
      </w:pPr>
      <w:r>
        <w:rPr>
          <w:rFonts w:hint="eastAsia" w:ascii="宋体" w:hAnsi="宋体" w:eastAsia="宋体" w:cs="宋体"/>
          <w:color w:val="000000"/>
          <w:szCs w:val="21"/>
          <w:lang w:bidi="ar"/>
        </w:rPr>
        <w:t>自然年度内学校立项用于本科教学改革和建设的专项经费总额2774.04万元。</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12. 生均本科实验经费</w:t>
      </w:r>
    </w:p>
    <w:p>
      <w:pPr>
        <w:spacing w:line="360" w:lineRule="auto"/>
        <w:ind w:firstLine="210"/>
        <w:jc w:val="left"/>
        <w:rPr>
          <w:rFonts w:ascii="宋体" w:hAnsi="宋体" w:eastAsia="宋体" w:cs="宋体"/>
          <w:color w:val="000000"/>
          <w:szCs w:val="21"/>
        </w:rPr>
      </w:pPr>
      <w:r>
        <w:rPr>
          <w:rFonts w:hint="eastAsia" w:ascii="宋体" w:hAnsi="宋体" w:eastAsia="宋体" w:cs="宋体"/>
          <w:color w:val="000000"/>
          <w:szCs w:val="21"/>
          <w:lang w:bidi="ar"/>
        </w:rPr>
        <w:t>自然年度内学校用于实验教学运行、维护经费生均值237.21元。</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13. 生均本科实习经费</w:t>
      </w:r>
    </w:p>
    <w:p>
      <w:pPr>
        <w:spacing w:line="360" w:lineRule="auto"/>
        <w:ind w:firstLine="210"/>
        <w:jc w:val="left"/>
        <w:rPr>
          <w:rFonts w:ascii="宋体" w:hAnsi="宋体" w:eastAsia="宋体" w:cs="宋体"/>
          <w:color w:val="000000"/>
          <w:szCs w:val="21"/>
        </w:rPr>
      </w:pPr>
      <w:r>
        <w:rPr>
          <w:rFonts w:hint="eastAsia" w:ascii="宋体" w:hAnsi="宋体" w:eastAsia="宋体" w:cs="宋体"/>
          <w:color w:val="000000"/>
          <w:szCs w:val="21"/>
          <w:lang w:bidi="ar"/>
        </w:rPr>
        <w:t>自然年度内用于本科培养方案内的实习环节支出经费生均值213.30元。</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14. 全校开设课程总门数</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全校开设课程总门数1983。本学年高级职称教师承担的课程门数为812，占总课程门数的40.95%；课程门次数为2452，占开课总门次的36.62%。正高级职称教师承担的课程门数为245，占总课程门数的12.36%；课程门次数为491，占开课总门次的7.33%。其中教授职称教师承担的课程门数为241，占总课程门数的12.15%；课程门次数为483，占开课总门次的7.21%。副高级职称教师承担的课程门数为647，占总课程门数的32.63%；课程门次数为1980，占开课总门次的29.57%。其中副教授职称教师承担的课程门数为624，占总课程门数的31.47%；课程门次数为1901，占开课总门次的28.39%。</w:t>
      </w:r>
    </w:p>
    <w:p>
      <w:pPr>
        <w:numPr>
          <w:ilvl w:val="0"/>
          <w:numId w:val="4"/>
        </w:numPr>
        <w:jc w:val="left"/>
        <w:rPr>
          <w:rFonts w:ascii="宋体" w:hAnsi="宋体" w:eastAsia="宋体" w:cs="宋体"/>
          <w:color w:val="000000"/>
          <w:sz w:val="24"/>
        </w:rPr>
      </w:pPr>
      <w:r>
        <w:rPr>
          <w:rFonts w:hint="eastAsia" w:ascii="宋体" w:hAnsi="宋体" w:eastAsia="宋体" w:cs="宋体"/>
          <w:b/>
          <w:bCs/>
          <w:color w:val="000000"/>
          <w:szCs w:val="21"/>
          <w:lang w:bidi="ar"/>
        </w:rPr>
        <w:t>实践教学学分占总学分比例</w:t>
      </w:r>
      <w:r>
        <w:rPr>
          <w:rFonts w:hint="eastAsia" w:ascii="宋体" w:hAnsi="宋体" w:eastAsia="宋体" w:cs="宋体"/>
          <w:color w:val="000000"/>
          <w:sz w:val="24"/>
          <w:lang w:bidi="ar"/>
        </w:rPr>
        <w:t>。</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实践教学环节平均学分43.07，占比29.27%</w:t>
      </w:r>
    </w:p>
    <w:p>
      <w:pPr>
        <w:jc w:val="center"/>
        <w:rPr>
          <w:rFonts w:ascii="宋体" w:hAnsi="宋体" w:eastAsia="宋体" w:cs="宋体"/>
          <w:b/>
          <w:bCs/>
          <w:color w:val="000000"/>
          <w:szCs w:val="21"/>
        </w:rPr>
      </w:pPr>
      <w:r>
        <w:rPr>
          <w:rFonts w:hint="eastAsia" w:ascii="宋体" w:hAnsi="宋体" w:eastAsia="宋体" w:cs="宋体"/>
          <w:b/>
          <w:bCs/>
          <w:color w:val="000000"/>
          <w:szCs w:val="21"/>
          <w:lang w:bidi="ar"/>
        </w:rPr>
        <w:t>附表5 各专业实践教学学分及实践场地情况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1688"/>
        <w:gridCol w:w="725"/>
        <w:gridCol w:w="737"/>
        <w:gridCol w:w="813"/>
        <w:gridCol w:w="837"/>
        <w:gridCol w:w="906"/>
        <w:gridCol w:w="705"/>
        <w:gridCol w:w="1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专业代码</w:t>
            </w:r>
          </w:p>
        </w:tc>
        <w:tc>
          <w:tcPr>
            <w:tcW w:w="16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专业名称</w:t>
            </w:r>
          </w:p>
        </w:tc>
        <w:tc>
          <w:tcPr>
            <w:tcW w:w="31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实践学分</w:t>
            </w:r>
          </w:p>
        </w:tc>
        <w:tc>
          <w:tcPr>
            <w:tcW w:w="2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实践场地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6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25"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集中性实践环节</w:t>
            </w:r>
          </w:p>
        </w:tc>
        <w:tc>
          <w:tcPr>
            <w:tcW w:w="737"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实验教学</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课外科技活动</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实践环节占比</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专业实验室数量</w:t>
            </w:r>
          </w:p>
        </w:tc>
        <w:tc>
          <w:tcPr>
            <w:tcW w:w="17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实习实训基地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6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25"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37"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当年接收学生数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27.84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020109T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数字经济</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24.02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25.61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25.94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19.75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25.77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13.12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27.42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020305T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金融数学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24.37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32.33</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30.68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21.98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22.81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23.67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20.33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32.54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36.25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25.45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29.88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25.79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32.71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16.9</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32.57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080217T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增材制造工程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9.38</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26.69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30.34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33.71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31.14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31.43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080710T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集成电路设计与集成系统</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29.14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080717T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人工智能</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32.14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34.94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14.6</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30.06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26.22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080905</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物联网工程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33.33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18.25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37.45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29.63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12.75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31.61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25.47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遥感科学与技术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31.14</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34.76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30.67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29.63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26.55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23.33</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6.67</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29.41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25.82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szCs w:val="21"/>
                <w:shd w:val="clear" w:color="auto" w:fill="FFFFFF"/>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31.12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26.51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12.31</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25.51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28.39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工业工程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34.28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24.39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120803T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31.36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38.02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29.27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130212T</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音乐教育</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32.68</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42.0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28.19</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40.26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43.13</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42.95</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130508</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数字媒体艺术</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25.16</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全校校均</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27.91</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15.17</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0.63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29.27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104</w:t>
            </w:r>
          </w:p>
        </w:tc>
      </w:tr>
    </w:tbl>
    <w:p>
      <w:pPr>
        <w:jc w:val="left"/>
        <w:rPr>
          <w:rFonts w:ascii="Times New Roman" w:hAnsi="Times New Roman" w:cs="Times New Roman"/>
          <w:color w:val="000000"/>
          <w:szCs w:val="21"/>
        </w:rPr>
      </w:pPr>
      <w:r>
        <w:rPr>
          <w:rFonts w:ascii="Times New Roman" w:hAnsi="Times New Roman" w:cs="Times New Roman"/>
          <w:color w:val="000000"/>
          <w:szCs w:val="21"/>
          <w:lang w:bidi="ar"/>
        </w:rPr>
        <w:t xml:space="preserve"> </w:t>
      </w:r>
    </w:p>
    <w:p>
      <w:pPr>
        <w:jc w:val="left"/>
        <w:rPr>
          <w:rFonts w:ascii="宋体" w:hAnsi="宋体" w:eastAsia="宋体" w:cs="宋体"/>
          <w:b/>
          <w:bCs/>
          <w:color w:val="000000"/>
          <w:szCs w:val="21"/>
        </w:rPr>
      </w:pPr>
      <w:r>
        <w:rPr>
          <w:rFonts w:hint="eastAsia" w:ascii="宋体" w:hAnsi="宋体" w:eastAsia="宋体" w:cs="宋体"/>
          <w:b/>
          <w:bCs/>
          <w:color w:val="000000"/>
          <w:szCs w:val="21"/>
          <w:lang w:bidi="ar"/>
        </w:rPr>
        <w:t>16．选修课学分占总学分比例</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附表6 各专业人才培养方案学时、学分情况</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6"/>
        <w:gridCol w:w="985"/>
        <w:gridCol w:w="1111"/>
        <w:gridCol w:w="713"/>
        <w:gridCol w:w="714"/>
        <w:gridCol w:w="713"/>
        <w:gridCol w:w="912"/>
        <w:gridCol w:w="912"/>
        <w:gridCol w:w="713"/>
        <w:gridCol w:w="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专业代码</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专业名称</w:t>
            </w:r>
          </w:p>
        </w:tc>
        <w:tc>
          <w:tcPr>
            <w:tcW w:w="41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学时数</w:t>
            </w:r>
          </w:p>
        </w:tc>
        <w:tc>
          <w:tcPr>
            <w:tcW w:w="23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学分数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111"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总数</w:t>
            </w:r>
          </w:p>
        </w:tc>
        <w:tc>
          <w:tcPr>
            <w:tcW w:w="14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其中</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其中</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总数</w:t>
            </w:r>
          </w:p>
        </w:tc>
        <w:tc>
          <w:tcPr>
            <w:tcW w:w="1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1111"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必修课占比（%）</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选修课占比（%）</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理论教学占比（%）</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实验教学占比（%）</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Times New Roman"/>
                <w:szCs w:val="21"/>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必修课占比（%）</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选修课占比（%）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130508</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数字媒体艺术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79.45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62.41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37.59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37.10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2376.00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68.35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31.65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60.35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39.65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30.13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2416.00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70.53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29.47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59.52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40.48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156.50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49.52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2368.00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68.92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31.08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63.60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36.40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54.55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2440.00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73.77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26.23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66.23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32.13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149.00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51.68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130212T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音乐教育</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2298.00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86.07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13.93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73.06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26.94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70.59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2318.00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79.29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55.69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41.37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70.12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1622.50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92.11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64.50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32.42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121.00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49.17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120803T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73.93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82.50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169.00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60.95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1702.00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90.01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86.02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13.98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66.67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84.44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88.89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11.11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69.68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工业工程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2358.00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76.93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78.75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60.34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84.54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85.63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14.37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70.34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83.64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91.02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121.50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67.90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2268.00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75.31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24.69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91.27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78.40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89.87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10.13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88.24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11.58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124.50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66.67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1568.00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85.71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14.29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87.69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12.31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67.22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2240.00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75.71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24.29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86.43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79.39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92.30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69.67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1322.67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79.84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20.16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87.10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12.90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57.84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2432.00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80.59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19.41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85.44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14.56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177.00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64.12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1701.00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80.72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19.28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86.60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12.82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128.75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63.11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2176.00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85.29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88.88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11.12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67.48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3184.00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85.99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68.91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31.09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66.19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遥感科学与技术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2240.00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82.05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167.00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70.06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2456.00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84.36</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15.64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90.72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184.50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69.11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1856.00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86.21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87.18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12.82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135.25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75.79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2320.00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91.72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77.07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22.93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67.28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1712.00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82.24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17.76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74.94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127.50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62.75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080905</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物联网工程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2292.00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78.10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21.90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59.44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2320.00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90.34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74.05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65.85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69.93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2021.00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92.87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79.76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134.50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64.87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080717T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人工智能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2240.00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84.06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15.94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57.14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080710T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集成电路设计与集成系统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2176.00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92.28</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82.44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2376.00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91.92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85.86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14.14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66.86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2376.00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93.27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13.80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69.14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2408.00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89.37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85.96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78.29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2320.00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86.21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82.67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10.43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66.85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080217T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增材制造工程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2352.00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86.39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11.48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177.50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67.32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90.96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90.44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13.90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88.27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65.17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76.20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23.80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56.95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1736.00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90.78</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88.02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2374.00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83.91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77.34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22.66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67.07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89.65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10.35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86.64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69.39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2412.00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87.73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12.27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86.15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13.85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174.50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69.05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2344.00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83.62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30.80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159.50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2288.00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76.22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23.78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70.02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29.98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60.52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1716.00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81.26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18.74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2435.00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86.53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13.47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75.85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24.15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169.00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71.30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2272.00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86.62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89.83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10.17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72.77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2232.00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85.30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14.70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85.57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14.43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75.67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85.28</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14.72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14.80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76.25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1688.00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89.57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10.43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86.43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113.75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83.30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1787.33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91.64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87.62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12.38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63.77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2204.00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92.83</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86.75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70.89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020305T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金融数学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2284.00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92.29</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86.87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13.13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70.12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1723.00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85.14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14.86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70.17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2260.00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90.80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89.82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10.18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68.71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2406.00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72.24</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27.76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89.65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10.35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64.20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1938.50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91.82</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75.47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119.50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67.78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2400.00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86.67</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87.42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12.58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73.78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020109T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数字经济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2482.00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85.98</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14.02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72.28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12.65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179.00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63.69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2256.00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92.91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7.09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85.64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14.36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69.70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2808.00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94.30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72.29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168.81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67.24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2208.00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85.51</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14.49</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91.03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167.60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66.83</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全校校均</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2062.76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85.68</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14.32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81.73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147.17</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66.98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13.87</w:t>
            </w:r>
          </w:p>
        </w:tc>
      </w:tr>
    </w:tbl>
    <w:p>
      <w:pPr>
        <w:jc w:val="left"/>
        <w:rPr>
          <w:rFonts w:ascii="宋体" w:hAnsi="宋体" w:eastAsia="宋体" w:cs="宋体"/>
          <w:color w:val="000000"/>
          <w:sz w:val="24"/>
        </w:rPr>
      </w:pPr>
      <w:r>
        <w:rPr>
          <w:rFonts w:hint="eastAsia" w:ascii="宋体" w:hAnsi="宋体" w:eastAsia="宋体" w:cs="宋体"/>
          <w:color w:val="000000"/>
          <w:sz w:val="24"/>
          <w:lang w:bidi="ar"/>
        </w:rPr>
        <w:t xml:space="preserve"> </w:t>
      </w:r>
    </w:p>
    <w:p>
      <w:pPr>
        <w:spacing w:line="360" w:lineRule="auto"/>
        <w:jc w:val="left"/>
        <w:rPr>
          <w:rFonts w:ascii="宋体" w:hAnsi="宋体" w:eastAsia="宋体" w:cs="宋体"/>
          <w:b/>
          <w:bCs/>
          <w:color w:val="000000"/>
          <w:szCs w:val="21"/>
        </w:rPr>
      </w:pPr>
      <w:r>
        <w:rPr>
          <w:rFonts w:hint="eastAsia" w:ascii="宋体" w:hAnsi="宋体" w:eastAsia="宋体" w:cs="宋体"/>
          <w:b/>
          <w:bCs/>
          <w:color w:val="000000"/>
          <w:szCs w:val="21"/>
          <w:lang w:bidi="ar"/>
        </w:rPr>
        <w:t>17. 主讲本科课程的教授占教授总数的比例（不含讲座）</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主讲本科课程的教授占教授总数的比例94.25%%，各专业主讲本科课程的教授占教授总数的比例（不含讲座）参见附表3。</w:t>
      </w:r>
    </w:p>
    <w:p>
      <w:pPr>
        <w:spacing w:line="360" w:lineRule="auto"/>
        <w:jc w:val="left"/>
        <w:rPr>
          <w:rFonts w:ascii="宋体" w:hAnsi="宋体" w:eastAsia="宋体" w:cs="宋体"/>
          <w:b/>
          <w:bCs/>
          <w:color w:val="000000"/>
          <w:sz w:val="24"/>
        </w:rPr>
      </w:pPr>
      <w:r>
        <w:rPr>
          <w:rFonts w:hint="eastAsia" w:ascii="宋体" w:hAnsi="宋体" w:eastAsia="宋体" w:cs="宋体"/>
          <w:b/>
          <w:bCs/>
          <w:color w:val="000000"/>
          <w:sz w:val="24"/>
          <w:lang w:bidi="ar"/>
        </w:rPr>
        <w:t>18. 教授讲授本科课程占课程总门次数的比例</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教授讲授本科课程占课程总门次数的比例为7.21%。正高级职称教师承担的课程门数为245，占总课程门数的12.36%；课程门次数为491，占开课总门次的7.33%。其中教授职称教师承担的课程门数为241，占总课程门数的12.15%；课程门次数为483，占开课总门次的7.21%。</w:t>
      </w:r>
    </w:p>
    <w:p>
      <w:pPr>
        <w:numPr>
          <w:ilvl w:val="0"/>
          <w:numId w:val="5"/>
        </w:numPr>
        <w:jc w:val="left"/>
        <w:rPr>
          <w:rFonts w:ascii="宋体" w:hAnsi="宋体" w:eastAsia="宋体" w:cs="宋体"/>
          <w:color w:val="000000"/>
          <w:sz w:val="24"/>
        </w:rPr>
      </w:pPr>
      <w:r>
        <w:rPr>
          <w:rFonts w:hint="eastAsia" w:ascii="宋体" w:hAnsi="宋体" w:eastAsia="宋体" w:cs="宋体"/>
          <w:b/>
          <w:szCs w:val="21"/>
          <w:shd w:val="clear" w:color="auto" w:fill="FFFFFF"/>
          <w:lang w:bidi="ar"/>
        </w:rPr>
        <w:t xml:space="preserve"> 各专业实践教学及实习实训基地数量</w:t>
      </w:r>
      <w:r>
        <w:rPr>
          <w:rFonts w:hint="eastAsia" w:ascii="宋体" w:hAnsi="宋体" w:eastAsia="宋体" w:cs="宋体"/>
          <w:color w:val="000000"/>
          <w:sz w:val="24"/>
          <w:lang w:bidi="ar"/>
        </w:rPr>
        <w:t>。</w:t>
      </w:r>
    </w:p>
    <w:p>
      <w:pPr>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专业实验室 193个，校内外实习、实训基地116个。使用情况参见附表5。</w:t>
      </w:r>
    </w:p>
    <w:p>
      <w:pPr>
        <w:jc w:val="left"/>
        <w:rPr>
          <w:rFonts w:ascii="宋体" w:hAnsi="宋体" w:eastAsia="宋体" w:cs="宋体"/>
          <w:b/>
          <w:bCs/>
          <w:color w:val="000000"/>
          <w:szCs w:val="21"/>
        </w:rPr>
      </w:pPr>
      <w:r>
        <w:rPr>
          <w:rFonts w:hint="eastAsia" w:ascii="宋体" w:hAnsi="宋体" w:eastAsia="宋体" w:cs="宋体"/>
          <w:color w:val="000000"/>
          <w:sz w:val="24"/>
          <w:lang w:bidi="ar"/>
        </w:rPr>
        <w:t xml:space="preserve">20. </w:t>
      </w:r>
      <w:r>
        <w:rPr>
          <w:rFonts w:hint="eastAsia" w:ascii="宋体" w:hAnsi="宋体" w:eastAsia="宋体" w:cs="宋体"/>
          <w:b/>
          <w:bCs/>
          <w:color w:val="000000"/>
          <w:szCs w:val="21"/>
          <w:lang w:bidi="ar"/>
        </w:rPr>
        <w:t>应届本科生毕业率</w:t>
      </w:r>
    </w:p>
    <w:p>
      <w:pPr>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lang w:bidi="ar"/>
        </w:rPr>
        <w:t>应届本科生毕业率98.12%，分专业本科生毕业率见附表7。</w:t>
      </w:r>
    </w:p>
    <w:p>
      <w:pPr>
        <w:ind w:firstLine="2530" w:firstLineChars="1200"/>
        <w:rPr>
          <w:rFonts w:ascii="Times New Roman" w:hAnsi="Times New Roman" w:cs="Times New Roman"/>
          <w:b/>
          <w:bCs/>
          <w:color w:val="000000"/>
          <w:szCs w:val="21"/>
        </w:rPr>
      </w:pPr>
      <w:r>
        <w:rPr>
          <w:rFonts w:hint="eastAsia" w:ascii="宋体" w:hAnsi="宋体" w:eastAsia="宋体" w:cs="宋体"/>
          <w:b/>
          <w:bCs/>
          <w:color w:val="000000"/>
          <w:szCs w:val="21"/>
          <w:lang w:bidi="ar"/>
        </w:rPr>
        <w:t>附表7  分专业本科生毕业率</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5"/>
        <w:gridCol w:w="2056"/>
        <w:gridCol w:w="1785"/>
        <w:gridCol w:w="1364"/>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专业代码</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专业名称</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毕业班人数</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毕业人数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262</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142</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102</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全校整体</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5798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5689</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98.12</w:t>
            </w:r>
          </w:p>
        </w:tc>
      </w:tr>
    </w:tbl>
    <w:p>
      <w:pPr>
        <w:jc w:val="left"/>
        <w:rPr>
          <w:rFonts w:ascii="Times New Roman" w:hAnsi="Times New Roman" w:cs="Times New Roman"/>
          <w:b/>
          <w:bCs/>
          <w:color w:val="000000"/>
          <w:szCs w:val="21"/>
        </w:rPr>
      </w:pPr>
      <w:r>
        <w:rPr>
          <w:rFonts w:ascii="Times New Roman" w:hAnsi="Times New Roman" w:eastAsia="宋体" w:cs="Times New Roman"/>
          <w:b/>
          <w:bCs/>
          <w:color w:val="000000"/>
          <w:szCs w:val="21"/>
          <w:lang w:bidi="ar"/>
        </w:rPr>
        <w:t xml:space="preserve">21. </w:t>
      </w:r>
      <w:r>
        <w:rPr>
          <w:rFonts w:hint="eastAsia" w:ascii="宋体" w:hAnsi="宋体" w:eastAsia="宋体" w:cs="宋体"/>
          <w:b/>
          <w:bCs/>
          <w:color w:val="000000"/>
          <w:szCs w:val="21"/>
          <w:lang w:bidi="ar"/>
        </w:rPr>
        <w:t>应届本科毕业生学位授予率</w:t>
      </w:r>
    </w:p>
    <w:p>
      <w:pPr>
        <w:jc w:val="left"/>
        <w:rPr>
          <w:rFonts w:ascii="Times New Roman" w:hAnsi="Times New Roman" w:cs="Times New Roman"/>
          <w:color w:val="000000"/>
          <w:szCs w:val="21"/>
        </w:rPr>
      </w:pPr>
      <w:r>
        <w:rPr>
          <w:rFonts w:hint="eastAsia" w:ascii="宋体" w:hAnsi="宋体" w:eastAsia="宋体" w:cs="宋体"/>
          <w:color w:val="000000"/>
          <w:sz w:val="24"/>
          <w:lang w:bidi="ar"/>
        </w:rPr>
        <w:t xml:space="preserve"> </w:t>
      </w:r>
      <w:r>
        <w:rPr>
          <w:rFonts w:hint="eastAsia" w:ascii="宋体" w:hAnsi="宋体" w:eastAsia="宋体" w:cs="宋体"/>
          <w:color w:val="000000"/>
          <w:szCs w:val="21"/>
          <w:lang w:bidi="ar"/>
        </w:rPr>
        <w:t>应届本科毕业生学位授予率99.16%，分专业本科生学位授予率见附表8。</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附表8  分专业本科生学位授予率</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6"/>
        <w:gridCol w:w="2390"/>
        <w:gridCol w:w="1420"/>
        <w:gridCol w:w="1575"/>
        <w:gridCol w:w="1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专业代码</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专业名称</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毕业人数</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获得学位人数</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学位授予率（%）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全校整体</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5689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5641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99.16</w:t>
            </w:r>
          </w:p>
        </w:tc>
      </w:tr>
    </w:tbl>
    <w:p>
      <w:pPr>
        <w:jc w:val="left"/>
        <w:rPr>
          <w:rFonts w:ascii="Times New Roman" w:hAnsi="Times New Roman" w:cs="Times New Roman"/>
          <w:color w:val="000000"/>
          <w:szCs w:val="21"/>
        </w:rPr>
      </w:pPr>
      <w:r>
        <w:rPr>
          <w:rFonts w:ascii="Times New Roman" w:hAnsi="Times New Roman" w:cs="Times New Roman"/>
          <w:color w:val="000000"/>
          <w:szCs w:val="21"/>
          <w:lang w:bidi="ar"/>
        </w:rPr>
        <w:t xml:space="preserve"> </w:t>
      </w:r>
    </w:p>
    <w:p>
      <w:pPr>
        <w:numPr>
          <w:ilvl w:val="0"/>
          <w:numId w:val="6"/>
        </w:numPr>
        <w:jc w:val="left"/>
        <w:rPr>
          <w:rFonts w:ascii="宋体" w:hAnsi="宋体" w:eastAsia="宋体" w:cs="宋体"/>
          <w:b/>
          <w:bCs/>
          <w:color w:val="000000"/>
          <w:szCs w:val="21"/>
        </w:rPr>
      </w:pPr>
      <w:r>
        <w:rPr>
          <w:rFonts w:hint="eastAsia" w:ascii="宋体" w:hAnsi="宋体" w:eastAsia="宋体" w:cs="宋体"/>
          <w:b/>
          <w:bCs/>
          <w:color w:val="000000"/>
          <w:szCs w:val="21"/>
          <w:lang w:bidi="ar"/>
        </w:rPr>
        <w:t>应届本科毕业生初次就业率</w:t>
      </w:r>
    </w:p>
    <w:p>
      <w:pPr>
        <w:ind w:firstLine="210"/>
        <w:jc w:val="left"/>
        <w:rPr>
          <w:rFonts w:ascii="宋体" w:hAnsi="宋体" w:eastAsia="宋体" w:cs="宋体"/>
          <w:color w:val="000000"/>
          <w:szCs w:val="21"/>
        </w:rPr>
      </w:pPr>
      <w:r>
        <w:rPr>
          <w:rFonts w:hint="eastAsia" w:ascii="宋体" w:hAnsi="宋体" w:eastAsia="宋体" w:cs="宋体"/>
          <w:color w:val="000000"/>
          <w:szCs w:val="21"/>
          <w:lang w:bidi="ar"/>
        </w:rPr>
        <w:t>应届本科毕业生初次就业率93.29%，分专业毕业生就业率见附表9。</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附表9 分专业毕业生去向落实率</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2418"/>
        <w:gridCol w:w="1365"/>
        <w:gridCol w:w="1583"/>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专业代码</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专业名称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毕业人数</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r>
              <w:rPr>
                <w:rFonts w:hint="eastAsia" w:ascii="宋体" w:hAnsi="宋体" w:eastAsia="宋体" w:cs="宋体"/>
                <w:color w:val="000000"/>
                <w:szCs w:val="21"/>
                <w:lang w:bidi="ar"/>
              </w:rPr>
              <w:t>去向落实人数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去向落实率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155</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108</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151</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102</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215</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计算机科学与技术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185</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58</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132</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176</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全校整体</w:t>
            </w:r>
          </w:p>
        </w:tc>
        <w:tc>
          <w:tcPr>
            <w:tcW w:w="2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5689</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5307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93.29</w:t>
            </w:r>
          </w:p>
        </w:tc>
      </w:tr>
    </w:tbl>
    <w:p>
      <w:pPr>
        <w:jc w:val="left"/>
        <w:rPr>
          <w:rFonts w:ascii="Times New Roman" w:hAnsi="Times New Roman" w:cs="Times New Roman"/>
          <w:color w:val="000000"/>
          <w:szCs w:val="21"/>
        </w:rPr>
      </w:pPr>
      <w:r>
        <w:rPr>
          <w:rFonts w:ascii="Times New Roman" w:hAnsi="Times New Roman" w:cs="Times New Roman"/>
          <w:color w:val="000000"/>
          <w:szCs w:val="21"/>
          <w:lang w:bidi="ar"/>
        </w:rPr>
        <w:t xml:space="preserve"> </w:t>
      </w:r>
    </w:p>
    <w:p>
      <w:pPr>
        <w:numPr>
          <w:ilvl w:val="0"/>
          <w:numId w:val="6"/>
        </w:numPr>
        <w:jc w:val="left"/>
        <w:rPr>
          <w:rFonts w:ascii="宋体" w:hAnsi="宋体" w:eastAsia="宋体" w:cs="宋体"/>
          <w:b/>
          <w:bCs/>
          <w:color w:val="000000"/>
          <w:szCs w:val="21"/>
        </w:rPr>
      </w:pPr>
      <w:r>
        <w:rPr>
          <w:rFonts w:hint="eastAsia" w:ascii="宋体" w:hAnsi="宋体" w:eastAsia="宋体" w:cs="宋体"/>
          <w:b/>
          <w:bCs/>
          <w:color w:val="000000"/>
          <w:szCs w:val="21"/>
          <w:lang w:bidi="ar"/>
        </w:rPr>
        <w:t>体质测试达标率</w:t>
      </w:r>
    </w:p>
    <w:p>
      <w:pPr>
        <w:jc w:val="left"/>
        <w:rPr>
          <w:rFonts w:ascii="Times New Roman" w:hAnsi="Times New Roman" w:cs="Times New Roman"/>
          <w:color w:val="000000"/>
          <w:szCs w:val="21"/>
        </w:rPr>
      </w:pPr>
      <w:r>
        <w:rPr>
          <w:rFonts w:hint="eastAsia" w:ascii="宋体" w:hAnsi="宋体" w:eastAsia="宋体" w:cs="宋体"/>
          <w:color w:val="000000"/>
          <w:sz w:val="24"/>
          <w:lang w:bidi="ar"/>
        </w:rPr>
        <w:t xml:space="preserve"> </w:t>
      </w:r>
      <w:r>
        <w:rPr>
          <w:rFonts w:hint="eastAsia" w:ascii="宋体" w:hAnsi="宋体" w:eastAsia="宋体" w:cs="宋体"/>
          <w:color w:val="000000"/>
          <w:szCs w:val="21"/>
          <w:lang w:bidi="ar"/>
        </w:rPr>
        <w:t>体质测试达标率87.89%，分专业体质测试合格率见附表10。</w:t>
      </w:r>
    </w:p>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附表10  分专业体质测试合格率</w:t>
      </w:r>
    </w:p>
    <w:tbl>
      <w:tblPr>
        <w:tblStyle w:val="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8"/>
        <w:gridCol w:w="2587"/>
        <w:gridCol w:w="1516"/>
        <w:gridCol w:w="1504"/>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专业代码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专业名称</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参与测试人数</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测试合格人数</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bCs/>
                <w:color w:val="000000"/>
                <w:szCs w:val="21"/>
              </w:rPr>
            </w:pPr>
            <w:r>
              <w:rPr>
                <w:rFonts w:hint="eastAsia" w:ascii="宋体" w:hAnsi="宋体" w:eastAsia="宋体" w:cs="宋体"/>
                <w:b/>
                <w:bCs/>
                <w:color w:val="000000"/>
                <w:szCs w:val="21"/>
                <w:lang w:bidi="ar"/>
              </w:rPr>
              <w:t>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经济统计学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020105T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商务经济学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020109T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数字经济</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98</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税收学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020301K</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611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555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保险学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投资学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271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020305T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金融数学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020309T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互联网金融</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020401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国际经济与贸易</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753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693</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030101K</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法学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89.67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030102T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知识产权</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193</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030302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社会工作</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050101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汉语言文学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264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英语</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431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050262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商务英语</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广告学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050306T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网络与新媒体</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070101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数学与应用数学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070504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地理信息科学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071202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应用统计学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172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机械设计制造及其自动化</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455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材料成型及控制工程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228</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机械电子工程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080208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汽车服务工程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244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197</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080217T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增材制造工程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080405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金属材料工程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232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080601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电气工程及其自动化</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570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461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电子信息工程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409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通信工程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301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080710T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集成电路设计与集成系统</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080717T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人工智能</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自动化</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526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080803T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机器人工程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154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物联网工程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080906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数字媒体技术</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080910T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数据科学与大数据技术</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土木工程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714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592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081004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建筑电气与智能化</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205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081202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遥感科学与技术</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082801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建筑学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工程管理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房地产开发与管理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120105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工程造价</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443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415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市场营销</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340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120203K</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会计学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财务管理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334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人力资源管理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审计学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355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120208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资产评估</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211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120403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劳动与社会保障</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322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120601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物流管理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289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257</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工业工程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105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120703T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质量管理工程</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电子商务</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120803T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跨境电子商务</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37</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音乐表演</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290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229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78.97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77.27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130212T</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音乐教育</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130401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美术学</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121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92.56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视觉传达设计</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142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119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环境设计</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公共艺术</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188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163</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130508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数字媒体艺术</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61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54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88.52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hint="eastAsia" w:ascii="宋体" w:hAnsi="宋体" w:eastAsia="宋体" w:cs="宋体"/>
                <w:color w:val="000000"/>
                <w:szCs w:val="21"/>
                <w:lang w:bidi="ar"/>
              </w:rPr>
              <w:t>全校整体</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19031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16727</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lang w:bidi="ar"/>
              </w:rPr>
              <w:t>87.89</w:t>
            </w:r>
          </w:p>
        </w:tc>
      </w:tr>
    </w:tbl>
    <w:p>
      <w:pPr>
        <w:numPr>
          <w:ilvl w:val="0"/>
          <w:numId w:val="6"/>
        </w:numPr>
        <w:jc w:val="left"/>
        <w:rPr>
          <w:rFonts w:ascii="宋体" w:hAnsi="宋体" w:eastAsia="宋体" w:cs="宋体"/>
          <w:b/>
          <w:bCs/>
          <w:color w:val="000000"/>
          <w:szCs w:val="21"/>
        </w:rPr>
      </w:pPr>
      <w:r>
        <w:rPr>
          <w:rFonts w:hint="eastAsia" w:ascii="宋体" w:hAnsi="宋体" w:eastAsia="宋体" w:cs="宋体"/>
          <w:b/>
          <w:bCs/>
          <w:color w:val="000000"/>
          <w:szCs w:val="21"/>
          <w:lang w:bidi="ar"/>
        </w:rPr>
        <w:t>学生学习满意度</w:t>
      </w:r>
    </w:p>
    <w:p>
      <w:pPr>
        <w:shd w:val="clear" w:color="auto" w:fill="FFFFFF"/>
        <w:spacing w:line="400" w:lineRule="exact"/>
        <w:jc w:val="center"/>
        <w:rPr>
          <w:rFonts w:ascii="Times New Roman" w:hAnsi="Times New Roman" w:cs="Times New Roman"/>
          <w:b/>
          <w:bCs/>
          <w:szCs w:val="21"/>
          <w:shd w:val="clear" w:color="auto" w:fill="FFFFFF"/>
        </w:rPr>
      </w:pPr>
      <w:r>
        <w:rPr>
          <w:rFonts w:hint="eastAsia" w:ascii="宋体" w:hAnsi="宋体" w:eastAsia="宋体" w:cs="宋体"/>
          <w:b/>
          <w:bCs/>
          <w:szCs w:val="21"/>
          <w:shd w:val="clear" w:color="auto" w:fill="FFFFFF"/>
          <w:lang w:bidi="ar"/>
        </w:rPr>
        <w:t>附表11  学生学习满意度调查表（</w:t>
      </w:r>
      <w:r>
        <w:rPr>
          <w:rFonts w:ascii="Times New Roman" w:hAnsi="Times New Roman" w:eastAsia="宋体" w:cs="Times New Roman"/>
          <w:b/>
          <w:bCs/>
          <w:szCs w:val="21"/>
          <w:shd w:val="clear" w:color="auto" w:fill="FFFFFF"/>
          <w:lang w:bidi="ar"/>
        </w:rPr>
        <w:t>2019-2022</w:t>
      </w:r>
      <w:r>
        <w:rPr>
          <w:rFonts w:hint="eastAsia" w:ascii="宋体" w:hAnsi="宋体" w:eastAsia="宋体" w:cs="宋体"/>
          <w:b/>
          <w:bCs/>
          <w:szCs w:val="21"/>
          <w:shd w:val="clear" w:color="auto" w:fill="FFFFFF"/>
          <w:lang w:bidi="ar"/>
        </w:rPr>
        <w:t>级）（参与人数</w:t>
      </w:r>
      <w:r>
        <w:rPr>
          <w:rFonts w:ascii="Times New Roman" w:hAnsi="Times New Roman" w:eastAsia="宋体" w:cs="Times New Roman"/>
          <w:b/>
          <w:bCs/>
          <w:szCs w:val="21"/>
          <w:shd w:val="clear" w:color="auto" w:fill="FFFFFF"/>
          <w:lang w:bidi="ar"/>
        </w:rPr>
        <w:t>12188</w:t>
      </w:r>
      <w:r>
        <w:rPr>
          <w:rFonts w:hint="eastAsia" w:ascii="宋体" w:hAnsi="宋体" w:eastAsia="宋体" w:cs="宋体"/>
          <w:b/>
          <w:bCs/>
          <w:szCs w:val="21"/>
          <w:shd w:val="clear" w:color="auto" w:fill="FFFFFF"/>
          <w:lang w:bidi="ar"/>
        </w:rPr>
        <w:t>）</w:t>
      </w:r>
    </w:p>
    <w:tbl>
      <w:tblPr>
        <w:tblStyle w:val="9"/>
        <w:tblW w:w="8541" w:type="dxa"/>
        <w:tblInd w:w="93" w:type="dxa"/>
        <w:tblLayout w:type="fixed"/>
        <w:tblCellMar>
          <w:top w:w="15" w:type="dxa"/>
          <w:left w:w="15" w:type="dxa"/>
          <w:bottom w:w="15" w:type="dxa"/>
          <w:right w:w="15" w:type="dxa"/>
        </w:tblCellMar>
      </w:tblPr>
      <w:tblGrid>
        <w:gridCol w:w="3611"/>
        <w:gridCol w:w="940"/>
        <w:gridCol w:w="885"/>
        <w:gridCol w:w="825"/>
        <w:gridCol w:w="825"/>
        <w:gridCol w:w="750"/>
        <w:gridCol w:w="705"/>
      </w:tblGrid>
      <w:tr>
        <w:tblPrEx>
          <w:tblCellMar>
            <w:top w:w="15" w:type="dxa"/>
            <w:left w:w="15" w:type="dxa"/>
            <w:bottom w:w="15" w:type="dxa"/>
            <w:right w:w="15" w:type="dxa"/>
          </w:tblCellMar>
        </w:tblPrEx>
        <w:trPr>
          <w:trHeight w:val="821"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color w:val="000000"/>
                <w:szCs w:val="21"/>
                <w:shd w:val="clear" w:color="auto" w:fill="FFFFFF"/>
              </w:rPr>
            </w:pPr>
            <w:r>
              <w:rPr>
                <w:rFonts w:hint="eastAsia" w:ascii="宋体" w:hAnsi="宋体" w:eastAsia="宋体" w:cs="宋体"/>
                <w:b/>
                <w:bCs/>
                <w:color w:val="000000"/>
                <w:kern w:val="0"/>
                <w:szCs w:val="21"/>
                <w:shd w:val="clear" w:color="auto" w:fill="FFFFFF"/>
                <w:lang w:bidi="ar"/>
              </w:rPr>
              <w:t>指标参数</w:t>
            </w:r>
          </w:p>
        </w:tc>
        <w:tc>
          <w:tcPr>
            <w:tcW w:w="940"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满意</w:t>
            </w:r>
          </w:p>
        </w:tc>
        <w:tc>
          <w:tcPr>
            <w:tcW w:w="885"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百分比（％）</w:t>
            </w:r>
          </w:p>
        </w:tc>
        <w:tc>
          <w:tcPr>
            <w:tcW w:w="825"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基本</w:t>
            </w:r>
          </w:p>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满意</w:t>
            </w:r>
          </w:p>
        </w:tc>
        <w:tc>
          <w:tcPr>
            <w:tcW w:w="825"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百分比（％）</w:t>
            </w:r>
          </w:p>
        </w:tc>
        <w:tc>
          <w:tcPr>
            <w:tcW w:w="750"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不满意</w:t>
            </w:r>
          </w:p>
        </w:tc>
        <w:tc>
          <w:tcPr>
            <w:tcW w:w="705" w:type="dxa"/>
            <w:tcBorders>
              <w:top w:val="single" w:color="auto" w:sz="4" w:space="0"/>
              <w:left w:val="nil"/>
              <w:bottom w:val="single" w:color="auto" w:sz="4" w:space="0"/>
              <w:right w:val="single" w:color="auto" w:sz="4" w:space="0"/>
            </w:tcBorders>
            <w:shd w:val="clear" w:color="auto" w:fill="FFFFFF"/>
            <w:vAlign w:val="center"/>
          </w:tcPr>
          <w:p>
            <w:pPr>
              <w:widowControl/>
              <w:shd w:val="clear" w:color="auto" w:fill="FFFFFF"/>
              <w:jc w:val="center"/>
              <w:textAlignment w:val="center"/>
              <w:rPr>
                <w:rFonts w:ascii="宋体" w:hAnsi="宋体" w:eastAsia="宋体" w:cs="宋体"/>
                <w:b/>
                <w:bCs/>
                <w:kern w:val="0"/>
                <w:szCs w:val="21"/>
                <w:shd w:val="clear" w:color="auto" w:fill="FFFFFF"/>
              </w:rPr>
            </w:pPr>
            <w:r>
              <w:rPr>
                <w:rFonts w:hint="eastAsia" w:ascii="宋体" w:hAnsi="宋体" w:eastAsia="宋体" w:cs="宋体"/>
                <w:b/>
                <w:bCs/>
                <w:kern w:val="0"/>
                <w:szCs w:val="21"/>
                <w:shd w:val="clear" w:color="auto" w:fill="FFFFFF"/>
                <w:lang w:bidi="ar"/>
              </w:rPr>
              <w:t>百分比（％）</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学校的社会影响力情况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6170</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50.62</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5462</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44.81</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556</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4.57</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学校的招生宣传、入学教育等工作情况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6524</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53.53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5356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43.94</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308</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2.53</w:t>
            </w:r>
          </w:p>
        </w:tc>
      </w:tr>
      <w:tr>
        <w:tblPrEx>
          <w:tblCellMar>
            <w:top w:w="15" w:type="dxa"/>
            <w:left w:w="15" w:type="dxa"/>
            <w:bottom w:w="15" w:type="dxa"/>
            <w:right w:w="15" w:type="dxa"/>
          </w:tblCellMar>
        </w:tblPrEx>
        <w:trPr>
          <w:trHeight w:val="317"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所学专业的实验、实习、实践等情况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6289</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51.60</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5436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44.60</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463</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3.80</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选用的教材满足专业培养需要程度情况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6296</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51.66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5402</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44.32</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490</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4.02</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学校的学习风气总体情况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6476</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53.13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5249</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43.07</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463</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3.80</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学校的考风考纪总体情况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6725</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55.18</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5006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41.07</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457</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3.75</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学校在促进学生综合素质发展方面的工作情况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6611</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54.24</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5142</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42.19</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435</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3.57</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教师有效管理课堂情况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6853</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56.23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4943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40.56</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392</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3.21</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教师的职业素养情况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7179</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58.90</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4607</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37.80</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402</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3.30</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教师运用信息化教学手段进行智慧教学的情况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7047</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57.82</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4774</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39.17</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367</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3.01</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教师教学思政元素渗入情况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7082</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58.11</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4731</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38.82</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375</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3.07</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本专业教学中注重激发学生创新意识和能力情况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6804</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55.83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4973</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40.80</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411</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3.37</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cs="Times New Roman"/>
                <w:color w:val="000000"/>
                <w:szCs w:val="21"/>
              </w:rPr>
            </w:pPr>
            <w:r>
              <w:rPr>
                <w:rFonts w:hint="eastAsia" w:ascii="宋体" w:hAnsi="宋体" w:eastAsia="宋体" w:cs="宋体"/>
                <w:color w:val="000000"/>
                <w:szCs w:val="21"/>
                <w:lang w:bidi="ar"/>
              </w:rPr>
              <w:t>校管理人员的服务意识和基本素质情况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6888</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56.51</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4866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39.92</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434</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3.57</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eastAsia="宋体" w:cs="宋体"/>
                <w:color w:val="000000"/>
                <w:szCs w:val="21"/>
              </w:rPr>
            </w:pPr>
            <w:r>
              <w:rPr>
                <w:rFonts w:hint="eastAsia" w:ascii="宋体" w:hAnsi="宋体" w:eastAsia="宋体" w:cs="宋体"/>
                <w:color w:val="000000"/>
                <w:szCs w:val="21"/>
                <w:lang w:bidi="ar"/>
              </w:rPr>
              <w:t>学校的规章制度、办事流程等管理情况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6709</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55.05</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4936</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40.50</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543</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4.45</w:t>
            </w:r>
          </w:p>
        </w:tc>
      </w:tr>
      <w:tr>
        <w:tblPrEx>
          <w:tblCellMar>
            <w:top w:w="15" w:type="dxa"/>
            <w:left w:w="15" w:type="dxa"/>
            <w:bottom w:w="15" w:type="dxa"/>
            <w:right w:w="15" w:type="dxa"/>
          </w:tblCellMar>
        </w:tblPrEx>
        <w:trPr>
          <w:trHeight w:val="285" w:hRule="atLeast"/>
        </w:trPr>
        <w:tc>
          <w:tcPr>
            <w:tcW w:w="3611"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Times New Roman" w:hAnsi="Times New Roman" w:eastAsia="宋体" w:cs="宋体"/>
                <w:color w:val="000000"/>
                <w:szCs w:val="21"/>
              </w:rPr>
            </w:pPr>
            <w:r>
              <w:rPr>
                <w:rFonts w:hint="eastAsia" w:ascii="宋体" w:hAnsi="宋体" w:eastAsia="宋体" w:cs="宋体"/>
                <w:color w:val="000000"/>
                <w:szCs w:val="21"/>
                <w:lang w:bidi="ar"/>
              </w:rPr>
              <w:t>校内设施及校园文化建设等情况</w:t>
            </w:r>
          </w:p>
        </w:tc>
        <w:tc>
          <w:tcPr>
            <w:tcW w:w="94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6659</w:t>
            </w:r>
          </w:p>
        </w:tc>
        <w:tc>
          <w:tcPr>
            <w:tcW w:w="88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54.64</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4897</w:t>
            </w:r>
          </w:p>
        </w:tc>
        <w:tc>
          <w:tcPr>
            <w:tcW w:w="82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40.18</w:t>
            </w:r>
          </w:p>
        </w:tc>
        <w:tc>
          <w:tcPr>
            <w:tcW w:w="750"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632</w:t>
            </w:r>
          </w:p>
        </w:tc>
        <w:tc>
          <w:tcPr>
            <w:tcW w:w="705" w:type="dxa"/>
            <w:tcBorders>
              <w:top w:val="single" w:color="auto" w:sz="4" w:space="0"/>
              <w:left w:val="nil"/>
              <w:bottom w:val="single" w:color="auto" w:sz="4" w:space="0"/>
              <w:right w:val="single" w:color="auto" w:sz="4" w:space="0"/>
            </w:tcBorders>
            <w:shd w:val="clear" w:color="auto" w:fill="FFFFFF"/>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5.18</w:t>
            </w:r>
          </w:p>
        </w:tc>
      </w:tr>
    </w:tbl>
    <w:p>
      <w:pPr>
        <w:jc w:val="center"/>
        <w:rPr>
          <w:rFonts w:ascii="宋体" w:hAnsi="宋体" w:eastAsia="宋体" w:cs="宋体"/>
          <w:color w:val="000000"/>
          <w:sz w:val="24"/>
        </w:rPr>
      </w:pPr>
      <w:r>
        <w:rPr>
          <w:rFonts w:hint="eastAsia" w:ascii="宋体" w:hAnsi="宋体" w:eastAsia="宋体" w:cs="宋体"/>
          <w:color w:val="000000"/>
          <w:sz w:val="24"/>
          <w:lang w:bidi="ar"/>
        </w:rPr>
        <w:t xml:space="preserve"> </w:t>
      </w:r>
    </w:p>
    <w:p>
      <w:pPr>
        <w:jc w:val="left"/>
        <w:rPr>
          <w:rFonts w:ascii="宋体" w:hAnsi="宋体" w:eastAsia="宋体" w:cs="宋体"/>
          <w:color w:val="000000"/>
          <w:sz w:val="24"/>
        </w:rPr>
      </w:pPr>
      <w:r>
        <w:rPr>
          <w:rFonts w:hint="eastAsia" w:ascii="宋体" w:hAnsi="宋体" w:eastAsia="宋体" w:cs="宋体"/>
          <w:color w:val="000000"/>
          <w:sz w:val="24"/>
          <w:lang w:bidi="ar"/>
        </w:rPr>
        <w:t xml:space="preserve"> </w:t>
      </w:r>
    </w:p>
    <w:p>
      <w:pPr>
        <w:numPr>
          <w:ilvl w:val="0"/>
          <w:numId w:val="6"/>
        </w:numPr>
        <w:jc w:val="left"/>
        <w:rPr>
          <w:rFonts w:ascii="宋体" w:hAnsi="宋体" w:eastAsia="宋体" w:cs="宋体"/>
          <w:b/>
          <w:bCs/>
          <w:color w:val="000000"/>
          <w:szCs w:val="21"/>
        </w:rPr>
      </w:pPr>
      <w:r>
        <w:rPr>
          <w:rFonts w:hint="eastAsia" w:ascii="宋体" w:hAnsi="宋体" w:eastAsia="宋体" w:cs="宋体"/>
          <w:b/>
          <w:bCs/>
          <w:color w:val="000000"/>
          <w:szCs w:val="21"/>
          <w:lang w:bidi="ar"/>
        </w:rPr>
        <w:t>用人单位对毕业生满意度（调查方法与结果）。</w:t>
      </w:r>
    </w:p>
    <w:p>
      <w:pPr>
        <w:jc w:val="center"/>
        <w:rPr>
          <w:rFonts w:ascii="仿宋" w:hAnsi="仿宋" w:eastAsia="仿宋" w:cs="仿宋"/>
          <w:sz w:val="24"/>
        </w:rPr>
      </w:pPr>
      <w:r>
        <w:rPr>
          <w:rFonts w:hint="eastAsia" w:ascii="宋体" w:hAnsi="宋体" w:eastAsia="宋体" w:cs="宋体"/>
          <w:b/>
          <w:bCs/>
          <w:szCs w:val="21"/>
          <w:shd w:val="clear" w:color="auto" w:fill="FFFFFF"/>
          <w:lang w:bidi="ar"/>
        </w:rPr>
        <w:t>附表12  用人单位对毕业生满意度</w:t>
      </w:r>
    </w:p>
    <w:tbl>
      <w:tblPr>
        <w:tblStyle w:val="9"/>
        <w:tblW w:w="8259" w:type="dxa"/>
        <w:tblInd w:w="98" w:type="dxa"/>
        <w:tblLayout w:type="autofit"/>
        <w:tblCellMar>
          <w:top w:w="0" w:type="dxa"/>
          <w:left w:w="108" w:type="dxa"/>
          <w:bottom w:w="0" w:type="dxa"/>
          <w:right w:w="108" w:type="dxa"/>
        </w:tblCellMar>
      </w:tblPr>
      <w:tblGrid>
        <w:gridCol w:w="1078"/>
        <w:gridCol w:w="2761"/>
        <w:gridCol w:w="3077"/>
        <w:gridCol w:w="1343"/>
      </w:tblGrid>
      <w:tr>
        <w:tblPrEx>
          <w:tblCellMar>
            <w:top w:w="0" w:type="dxa"/>
            <w:left w:w="108" w:type="dxa"/>
            <w:bottom w:w="0" w:type="dxa"/>
            <w:right w:w="108" w:type="dxa"/>
          </w:tblCellMar>
        </w:tblPrEx>
        <w:trPr>
          <w:trHeight w:val="376"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2761"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一级指标</w:t>
            </w:r>
          </w:p>
        </w:tc>
        <w:tc>
          <w:tcPr>
            <w:tcW w:w="3077"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二级指标</w:t>
            </w:r>
          </w:p>
        </w:tc>
        <w:tc>
          <w:tcPr>
            <w:tcW w:w="1343"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满意度</w:t>
            </w:r>
            <w:r>
              <w:rPr>
                <w:rFonts w:hint="eastAsia" w:ascii="宋体" w:hAnsi="宋体" w:eastAsia="宋体" w:cs="宋体"/>
                <w:b/>
                <w:bCs/>
                <w:kern w:val="0"/>
                <w:szCs w:val="21"/>
                <w:shd w:val="clear" w:color="auto" w:fill="FFFFFF"/>
                <w:lang w:bidi="ar"/>
              </w:rPr>
              <w:t>（％）</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w:t>
            </w:r>
          </w:p>
        </w:tc>
        <w:tc>
          <w:tcPr>
            <w:tcW w:w="2761" w:type="dxa"/>
            <w:vMerge w:val="restar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毕业生工作能力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团队合作能力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97.37</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2</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沟通与交流能力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98.23</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3</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解决问题能力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100.00</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4</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终身学习能力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99.12</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5</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压力承受能力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96.46</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6</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动手操作能力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98.23</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7</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时间管理能力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97.32</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8</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信息技术</w:t>
            </w:r>
            <w:r>
              <w:rPr>
                <w:rFonts w:ascii="Times New Roman" w:hAnsi="Times New Roman" w:eastAsia="宋体" w:cs="Times New Roman"/>
                <w:color w:val="000000"/>
                <w:szCs w:val="21"/>
                <w:lang w:bidi="ar"/>
              </w:rPr>
              <w:t>/</w:t>
            </w:r>
            <w:r>
              <w:rPr>
                <w:rFonts w:hint="eastAsia" w:ascii="宋体" w:hAnsi="宋体" w:eastAsia="宋体" w:cs="宋体"/>
                <w:color w:val="000000"/>
                <w:szCs w:val="21"/>
                <w:lang w:bidi="ar"/>
              </w:rPr>
              <w:t>电脑技能</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96.43</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创新能力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97.35</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10</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组织管理能力</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98.25</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11</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批判性思维</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99.12</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12</w:t>
            </w:r>
          </w:p>
        </w:tc>
        <w:tc>
          <w:tcPr>
            <w:tcW w:w="2761" w:type="dxa"/>
            <w:vMerge w:val="restar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毕业生个人素质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职业规范与职业道德</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99.12</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13</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主动性和进取心</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99.12</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14</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社会责任感</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100.00</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15</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政治素养</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100.00</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16</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创新意识</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98.23</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17</w:t>
            </w:r>
          </w:p>
        </w:tc>
        <w:tc>
          <w:tcPr>
            <w:tcW w:w="2761" w:type="dxa"/>
            <w:vMerge w:val="restar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毕业生知识水平</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专业基础知识</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98.23</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18</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专业前沿知识</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98.21</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19</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人文社会科学知识</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98.21</w:t>
            </w:r>
          </w:p>
        </w:tc>
      </w:tr>
      <w:tr>
        <w:tblPrEx>
          <w:tblCellMar>
            <w:top w:w="0" w:type="dxa"/>
            <w:left w:w="108" w:type="dxa"/>
            <w:bottom w:w="0" w:type="dxa"/>
            <w:right w:w="108" w:type="dxa"/>
          </w:tblCellMar>
        </w:tblPrEx>
        <w:trPr>
          <w:trHeight w:val="3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20</w:t>
            </w:r>
          </w:p>
        </w:tc>
        <w:tc>
          <w:tcPr>
            <w:tcW w:w="2761" w:type="dxa"/>
            <w:vMerge w:val="continue"/>
            <w:tcBorders>
              <w:top w:val="nil"/>
              <w:left w:val="nil"/>
              <w:bottom w:val="single" w:color="000000" w:sz="4" w:space="0"/>
              <w:right w:val="single" w:color="000000" w:sz="4" w:space="0"/>
            </w:tcBorders>
            <w:shd w:val="clear" w:color="auto" w:fill="auto"/>
            <w:vAlign w:val="center"/>
          </w:tcPr>
          <w:p>
            <w:pPr>
              <w:rPr>
                <w:rFonts w:ascii="Calibri" w:hAnsi="Calibri" w:cs="Times New Roman"/>
                <w:szCs w:val="21"/>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hint="eastAsia" w:ascii="宋体" w:hAnsi="宋体" w:eastAsia="宋体" w:cs="宋体"/>
                <w:color w:val="000000"/>
                <w:szCs w:val="21"/>
                <w:lang w:bidi="ar"/>
              </w:rPr>
              <w:t>跨学科专业知识</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eastAsia="宋体" w:cs="宋体"/>
                <w:color w:val="000000"/>
                <w:szCs w:val="21"/>
              </w:rPr>
            </w:pPr>
            <w:r>
              <w:rPr>
                <w:rFonts w:ascii="Times New Roman" w:hAnsi="Times New Roman" w:eastAsia="宋体" w:cs="Times New Roman"/>
                <w:color w:val="000000"/>
                <w:szCs w:val="21"/>
                <w:lang w:bidi="ar"/>
              </w:rPr>
              <w:t>97.32</w:t>
            </w:r>
          </w:p>
        </w:tc>
      </w:tr>
    </w:tbl>
    <w:p>
      <w:pPr>
        <w:jc w:val="left"/>
        <w:rPr>
          <w:rFonts w:ascii="宋体" w:hAnsi="宋体" w:eastAsia="宋体" w:cs="宋体"/>
          <w:color w:val="000000"/>
          <w:szCs w:val="21"/>
        </w:rPr>
      </w:pPr>
      <w:r>
        <w:rPr>
          <w:rFonts w:hint="eastAsia" w:ascii="宋体" w:hAnsi="宋体" w:eastAsia="宋体" w:cs="宋体"/>
          <w:color w:val="000000"/>
          <w:szCs w:val="21"/>
          <w:lang w:bidi="ar"/>
        </w:rPr>
        <w:t xml:space="preserve"> </w:t>
      </w:r>
    </w:p>
    <w:p>
      <w:pPr>
        <w:rPr>
          <w:rFonts w:ascii="仿宋" w:hAnsi="仿宋" w:eastAsia="仿宋" w:cs="仿宋"/>
          <w:sz w:val="24"/>
        </w:rPr>
      </w:pPr>
      <w:r>
        <w:rPr>
          <w:rFonts w:hint="eastAsia" w:ascii="仿宋" w:hAnsi="仿宋" w:eastAsia="仿宋" w:cs="仿宋"/>
          <w:sz w:val="24"/>
          <w:lang w:bidi="ar"/>
        </w:rPr>
        <w:t xml:space="preserve"> </w:t>
      </w:r>
    </w:p>
    <w:p>
      <w:pPr>
        <w:rPr>
          <w:rFonts w:ascii="仿宋" w:hAnsi="仿宋" w:eastAsia="仿宋" w:cs="仿宋"/>
          <w:b/>
          <w:bCs/>
          <w:sz w:val="24"/>
        </w:rPr>
      </w:pPr>
      <w:r>
        <w:rPr>
          <w:rFonts w:hint="eastAsia" w:ascii="仿宋" w:hAnsi="仿宋" w:eastAsia="仿宋" w:cs="仿宋"/>
          <w:b/>
          <w:bCs/>
          <w:sz w:val="24"/>
          <w:lang w:bidi="ar"/>
        </w:rPr>
        <w:t>备注：数据来源于《铜陵学院2022届毕业生就业质量年度报告》</w:t>
      </w:r>
    </w:p>
    <w:p>
      <w:pPr>
        <w:jc w:val="left"/>
        <w:rPr>
          <w:rFonts w:ascii="宋体" w:hAnsi="宋体" w:eastAsia="宋体" w:cs="宋体"/>
          <w:b/>
          <w:bCs/>
          <w:color w:val="000000"/>
          <w:sz w:val="24"/>
          <w:shd w:val="clear" w:color="auto" w:fill="FFFFFF"/>
        </w:rPr>
      </w:pPr>
    </w:p>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_GBK">
    <w:altName w:val="宋体"/>
    <w:panose1 w:val="03000509000000000000"/>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pPr>
    <w:r>
      <w:drawing>
        <wp:anchor distT="0" distB="0" distL="114300" distR="114300" simplePos="0" relativeHeight="251659264" behindDoc="1" locked="0" layoutInCell="1" allowOverlap="1">
          <wp:simplePos x="0" y="0"/>
          <wp:positionH relativeFrom="column">
            <wp:posOffset>4070985</wp:posOffset>
          </wp:positionH>
          <wp:positionV relativeFrom="paragraph">
            <wp:posOffset>-205105</wp:posOffset>
          </wp:positionV>
          <wp:extent cx="1073785" cy="257810"/>
          <wp:effectExtent l="0" t="0" r="12065" b="8890"/>
          <wp:wrapNone/>
          <wp:docPr id="52" name="Picture 9" descr="铜陵学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铜陵学院1"/>
                  <pic:cNvPicPr>
                    <a:picLocks noChangeAspect="1"/>
                  </pic:cNvPicPr>
                </pic:nvPicPr>
                <pic:blipFill>
                  <a:blip r:embed="rId1"/>
                  <a:srcRect r="17905"/>
                  <a:stretch>
                    <a:fillRect/>
                  </a:stretch>
                </pic:blipFill>
                <pic:spPr>
                  <a:xfrm>
                    <a:off x="0" y="0"/>
                    <a:ext cx="1073785" cy="2578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7F34A3"/>
    <w:multiLevelType w:val="multilevel"/>
    <w:tmpl w:val="D37F34A3"/>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43BCA09"/>
    <w:multiLevelType w:val="multilevel"/>
    <w:tmpl w:val="143BCA09"/>
    <w:lvl w:ilvl="0" w:tentative="0">
      <w:start w:val="1"/>
      <w:numFmt w:val="decimal"/>
      <w:suff w:val="space"/>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DED1894"/>
    <w:multiLevelType w:val="multilevel"/>
    <w:tmpl w:val="2DED1894"/>
    <w:lvl w:ilvl="0" w:tentative="0">
      <w:start w:val="15"/>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0E073A0"/>
    <w:multiLevelType w:val="multilevel"/>
    <w:tmpl w:val="30E073A0"/>
    <w:lvl w:ilvl="0" w:tentative="0">
      <w:start w:val="3"/>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A90EEE2"/>
    <w:multiLevelType w:val="multilevel"/>
    <w:tmpl w:val="3A90EEE2"/>
    <w:lvl w:ilvl="0" w:tentative="0">
      <w:start w:val="2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DC0670E"/>
    <w:multiLevelType w:val="multilevel"/>
    <w:tmpl w:val="4DC0670E"/>
    <w:lvl w:ilvl="0" w:tentative="0">
      <w:start w:val="19"/>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kNzVkMTk3MjA0MjQyMTU1MmZhZGM0ODY0NDg2YWYifQ=="/>
  </w:docVars>
  <w:rsids>
    <w:rsidRoot w:val="00172A27"/>
    <w:rsid w:val="00011706"/>
    <w:rsid w:val="00126BEE"/>
    <w:rsid w:val="00172A27"/>
    <w:rsid w:val="00B97C9D"/>
    <w:rsid w:val="0B7A42BB"/>
    <w:rsid w:val="10D32DF6"/>
    <w:rsid w:val="1DE32193"/>
    <w:rsid w:val="26CA0394"/>
    <w:rsid w:val="28E3364C"/>
    <w:rsid w:val="29BA46F0"/>
    <w:rsid w:val="2B12223F"/>
    <w:rsid w:val="335C25CF"/>
    <w:rsid w:val="3BEE231A"/>
    <w:rsid w:val="45235713"/>
    <w:rsid w:val="4EA8219F"/>
    <w:rsid w:val="5980475F"/>
    <w:rsid w:val="59E22D24"/>
    <w:rsid w:val="5E5A37D0"/>
    <w:rsid w:val="61691F7C"/>
    <w:rsid w:val="6BE648F5"/>
    <w:rsid w:val="6D0E3FAE"/>
    <w:rsid w:val="6D17288C"/>
    <w:rsid w:val="71306613"/>
    <w:rsid w:val="723D7A2F"/>
    <w:rsid w:val="7B474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0" w:semiHidden="0" w:name="toc 1"/>
    <w:lsdException w:qFormat="1" w:uiPriority="0" w:semiHidden="0" w:name="toc 2"/>
    <w:lsdException w:qFormat="1"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宋体" w:cs="方正大标宋_GBK"/>
      <w:sz w:val="20"/>
    </w:rPr>
  </w:style>
  <w:style w:type="paragraph" w:styleId="3">
    <w:name w:val="toc 3"/>
    <w:basedOn w:val="1"/>
    <w:next w:val="1"/>
    <w:unhideWhenUsed/>
    <w:qFormat/>
    <w:uiPriority w:val="0"/>
    <w:pPr>
      <w:ind w:left="840" w:leftChars="400"/>
    </w:pPr>
    <w:rPr>
      <w:rFonts w:ascii="Times New Roman" w:hAnsi="Times New Roman" w:cs="Times New Roman"/>
      <w:szCs w:val="21"/>
    </w:r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unhideWhenUsed/>
    <w:uiPriority w:val="0"/>
    <w:rPr>
      <w:rFonts w:ascii="Times New Roman" w:hAnsi="Times New Roman" w:cs="Times New Roman"/>
      <w:szCs w:val="21"/>
    </w:rPr>
  </w:style>
  <w:style w:type="paragraph" w:styleId="7">
    <w:name w:val="toc 2"/>
    <w:basedOn w:val="1"/>
    <w:next w:val="1"/>
    <w:unhideWhenUsed/>
    <w:qFormat/>
    <w:uiPriority w:val="0"/>
    <w:pPr>
      <w:ind w:left="420" w:leftChars="200"/>
    </w:pPr>
    <w:rPr>
      <w:rFonts w:ascii="Times New Roman" w:hAnsi="Times New Roman" w:cs="Times New Roman"/>
      <w:szCs w:val="21"/>
    </w:rPr>
  </w:style>
  <w:style w:type="paragraph" w:styleId="8">
    <w:name w:val="Normal (Web)"/>
    <w:basedOn w:val="1"/>
    <w:unhideWhenUsed/>
    <w:uiPriority w:val="99"/>
    <w:pPr>
      <w:widowControl/>
      <w:spacing w:beforeAutospacing="1" w:afterAutospacing="1"/>
      <w:jc w:val="left"/>
    </w:pPr>
    <w:rPr>
      <w:rFonts w:ascii="宋体" w:hAnsi="宋体" w:cs="Times New Roman"/>
      <w:kern w:val="0"/>
      <w:sz w:val="24"/>
    </w:rPr>
  </w:style>
  <w:style w:type="character" w:styleId="11">
    <w:name w:val="Hyperlink"/>
    <w:basedOn w:val="10"/>
    <w:qFormat/>
    <w:uiPriority w:val="0"/>
    <w:rPr>
      <w:color w:val="0000FF"/>
      <w:u w:val="single"/>
    </w:rPr>
  </w:style>
  <w:style w:type="paragraph" w:customStyle="1" w:styleId="12">
    <w:name w:val="Char Char Char Char1"/>
    <w:qFormat/>
    <w:uiPriority w:val="0"/>
    <w:pPr>
      <w:keepNext/>
      <w:keepLines/>
      <w:widowControl w:val="0"/>
      <w:snapToGrid w:val="0"/>
      <w:spacing w:before="240" w:after="240" w:line="348" w:lineRule="auto"/>
      <w:jc w:val="both"/>
      <w:outlineLvl w:val="0"/>
    </w:pPr>
    <w:rPr>
      <w:rFonts w:ascii="Times New Roman" w:hAnsi="Times New Roman" w:eastAsia="宋体" w:cs="Times New Roman"/>
      <w:b/>
      <w:bCs/>
      <w:kern w:val="44"/>
      <w:sz w:val="4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32674</Words>
  <Characters>46319</Characters>
  <Lines>387</Lines>
  <Paragraphs>109</Paragraphs>
  <TotalTime>28</TotalTime>
  <ScaleCrop>false</ScaleCrop>
  <LinksUpToDate>false</LinksUpToDate>
  <CharactersWithSpaces>84091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2023-12-10T14:14:00Z</dcterms:created>
  <dc:creator>Administrator</dc:creator>
  <cp:lastModifiedBy>WPS_1670836307</cp:lastModifiedBy>
  <cp:lastPrinted>2023-12-11T01:06:00Z</cp:lastPrinted>
  <dcterms:modified xsi:type="dcterms:W3CDTF">2023-12-11T08:32:54Z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D5F0C2289FAA4858B7E40D1C63ACD144_13</vt:lpwstr>
  </property>
</Properties>
</file>